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media/image8.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C9E" w:rsidRPr="00016C9E" w:rsidRDefault="00016C9E" w:rsidP="00016C9E">
      <w:pPr>
        <w:shd w:val="clear" w:color="auto" w:fill="FFFFFF"/>
        <w:spacing w:before="100" w:beforeAutospacing="1" w:after="100" w:afterAutospacing="1" w:line="240" w:lineRule="auto"/>
        <w:outlineLvl w:val="1"/>
        <w:rPr>
          <w:rFonts w:ascii="Arial" w:eastAsia="Times New Roman" w:hAnsi="Arial" w:cs="Arial"/>
          <w:b/>
          <w:bCs/>
          <w:color w:val="222222"/>
          <w:sz w:val="36"/>
          <w:szCs w:val="36"/>
        </w:rPr>
      </w:pPr>
      <w:r w:rsidRPr="00016C9E">
        <w:rPr>
          <w:rFonts w:ascii="Arial" w:eastAsia="Times New Roman" w:hAnsi="Arial" w:cs="Arial"/>
          <w:b/>
          <w:bCs/>
          <w:color w:val="222222"/>
          <w:sz w:val="36"/>
          <w:szCs w:val="36"/>
        </w:rPr>
        <w:t>Ending the Era of Ponzi Finance</w:t>
      </w:r>
    </w:p>
    <w:p w:rsidR="00016C9E" w:rsidRPr="00016C9E" w:rsidRDefault="00016C9E" w:rsidP="00016C9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16C9E">
        <w:rPr>
          <w:rFonts w:ascii="Arial" w:eastAsia="Times New Roman" w:hAnsi="Arial" w:cs="Arial"/>
          <w:b/>
          <w:bCs/>
          <w:i/>
          <w:iCs/>
          <w:color w:val="222222"/>
          <w:sz w:val="27"/>
          <w:szCs w:val="27"/>
        </w:rPr>
        <w:t>Ten Steps Developed Economies Must Take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b/>
          <w:bCs/>
          <w:color w:val="222222"/>
          <w:sz w:val="20"/>
          <w:szCs w:val="20"/>
        </w:rPr>
        <w:t xml:space="preserve">Daniel </w:t>
      </w:r>
      <w:proofErr w:type="spellStart"/>
      <w:r w:rsidRPr="00016C9E">
        <w:rPr>
          <w:rFonts w:ascii="Arial" w:eastAsia="Times New Roman" w:hAnsi="Arial" w:cs="Arial"/>
          <w:b/>
          <w:bCs/>
          <w:color w:val="222222"/>
          <w:sz w:val="20"/>
          <w:szCs w:val="20"/>
        </w:rPr>
        <w:t>Stelter</w:t>
      </w:r>
      <w:proofErr w:type="spellEnd"/>
      <w:r w:rsidRPr="00016C9E">
        <w:rPr>
          <w:rFonts w:ascii="Arial" w:eastAsia="Times New Roman" w:hAnsi="Arial" w:cs="Arial"/>
          <w:b/>
          <w:bCs/>
          <w:color w:val="222222"/>
          <w:sz w:val="20"/>
          <w:szCs w:val="20"/>
        </w:rPr>
        <w:t xml:space="preserve">, with contributions from Ralf Berger, </w:t>
      </w:r>
      <w:proofErr w:type="spellStart"/>
      <w:r w:rsidRPr="00016C9E">
        <w:rPr>
          <w:rFonts w:ascii="Arial" w:eastAsia="Times New Roman" w:hAnsi="Arial" w:cs="Arial"/>
          <w:b/>
          <w:bCs/>
          <w:color w:val="222222"/>
          <w:sz w:val="20"/>
          <w:szCs w:val="20"/>
        </w:rPr>
        <w:t>Jendrik</w:t>
      </w:r>
      <w:proofErr w:type="spellEnd"/>
      <w:r w:rsidRPr="00016C9E">
        <w:rPr>
          <w:rFonts w:ascii="Arial" w:eastAsia="Times New Roman" w:hAnsi="Arial" w:cs="Arial"/>
          <w:b/>
          <w:bCs/>
          <w:color w:val="222222"/>
          <w:sz w:val="20"/>
          <w:szCs w:val="20"/>
        </w:rPr>
        <w:t xml:space="preserve"> </w:t>
      </w:r>
      <w:proofErr w:type="spellStart"/>
      <w:r w:rsidRPr="00016C9E">
        <w:rPr>
          <w:rFonts w:ascii="Arial" w:eastAsia="Times New Roman" w:hAnsi="Arial" w:cs="Arial"/>
          <w:b/>
          <w:bCs/>
          <w:color w:val="222222"/>
          <w:sz w:val="20"/>
          <w:szCs w:val="20"/>
        </w:rPr>
        <w:t>Odewald</w:t>
      </w:r>
      <w:proofErr w:type="spellEnd"/>
      <w:r w:rsidRPr="00016C9E">
        <w:rPr>
          <w:rFonts w:ascii="Arial" w:eastAsia="Times New Roman" w:hAnsi="Arial" w:cs="Arial"/>
          <w:b/>
          <w:bCs/>
          <w:color w:val="222222"/>
          <w:sz w:val="20"/>
          <w:szCs w:val="20"/>
        </w:rPr>
        <w:t xml:space="preserve">, and Dirk </w:t>
      </w:r>
      <w:proofErr w:type="spellStart"/>
      <w:r w:rsidRPr="00016C9E">
        <w:rPr>
          <w:rFonts w:ascii="Arial" w:eastAsia="Times New Roman" w:hAnsi="Arial" w:cs="Arial"/>
          <w:b/>
          <w:bCs/>
          <w:color w:val="222222"/>
          <w:sz w:val="20"/>
          <w:szCs w:val="20"/>
        </w:rPr>
        <w:t>Schilder</w:t>
      </w:r>
      <w:proofErr w:type="spellEnd"/>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i/>
          <w:iCs/>
          <w:color w:val="222222"/>
          <w:sz w:val="20"/>
          <w:szCs w:val="20"/>
        </w:rPr>
        <w:t xml:space="preserve">“Over a protracted </w:t>
      </w:r>
      <w:proofErr w:type="spellStart"/>
      <w:r w:rsidRPr="00016C9E">
        <w:rPr>
          <w:rFonts w:ascii="Arial" w:eastAsia="Times New Roman" w:hAnsi="Arial" w:cs="Arial"/>
          <w:i/>
          <w:iCs/>
          <w:color w:val="222222"/>
          <w:sz w:val="20"/>
          <w:szCs w:val="20"/>
        </w:rPr>
        <w:t>periomucd</w:t>
      </w:r>
      <w:proofErr w:type="spellEnd"/>
      <w:r w:rsidRPr="00016C9E">
        <w:rPr>
          <w:rFonts w:ascii="Arial" w:eastAsia="Times New Roman" w:hAnsi="Arial" w:cs="Arial"/>
          <w:i/>
          <w:iCs/>
          <w:color w:val="222222"/>
          <w:sz w:val="20"/>
          <w:szCs w:val="20"/>
        </w:rPr>
        <w:t xml:space="preserve"> of good times, capitalist economies tend to move from a financial structure dominated by hedge finance units to a structure in which there is a large weight to units engaged in speculative and Ponzi finance. . . . The greater the weight of speculative and Ponzi finance, the smaller the overall margins of safety in the economy and the greater the fragility of the financial structure.”—Hyman </w:t>
      </w:r>
      <w:proofErr w:type="spellStart"/>
      <w:r w:rsidRPr="00016C9E">
        <w:rPr>
          <w:rFonts w:ascii="Arial" w:eastAsia="Times New Roman" w:hAnsi="Arial" w:cs="Arial"/>
          <w:i/>
          <w:iCs/>
          <w:color w:val="222222"/>
          <w:sz w:val="20"/>
          <w:szCs w:val="20"/>
        </w:rPr>
        <w:t>Minsky</w:t>
      </w:r>
      <w:proofErr w:type="spellEnd"/>
      <w:r w:rsidRPr="00016C9E">
        <w:rPr>
          <w:rFonts w:ascii="Arial" w:eastAsia="Times New Roman" w:hAnsi="Arial" w:cs="Arial"/>
          <w:i/>
          <w:iCs/>
          <w:color w:val="222222"/>
          <w:sz w:val="20"/>
          <w:szCs w:val="20"/>
        </w:rPr>
        <w:t>, 1992</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 1920, an Italian immigrant to the U.S. by the name of Charles Ponzi created the scheme that would cause his name to live on in history. He announced an arbitrage business that would buy postal reply coupons in Italy and exchange them for stamps in the U.S., taking advantage of significant price differences due to high postwar inflation. He attracted investors by promising extraordinarily high returns—50 percent within 45 days. But instead of investing the money to buy the coupons and exchange them for stamps, he simply used the money of later investors to pay high returns to earlier investors, extracting huge profits along the way. By the time the fraud collapsed, investors had lost nearly $20 million, the equivalent of about $225 million in 2011 dollars. Such frauds have been known as Ponzi schemes ever since.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second-biggest Ponzi scheme in recent history—organized by the New York hedge-fund manager Bernard Madoff—led to losses of approximately $20 billion in 2008. The biggest, however, is still ongoing: the Ponzi scheme of the developed economies. It is not simply that the developed world has borrowed significantly from future wealth to fund today’s consumption, leading to huge burdens for the next generation. It has also reduced the potential for future economic growth, making it more difficult for the next generation to deal with this legacy.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It may seem harsh or exaggerated to liken the current troubles of the developed economies to a Ponzi scheme. I do so deliberately to emphasize the scope and seriousness of the problem. Nearly five years after the financial crisis, the leaders of the developed world are far too complacent. Politicians and central bankers have continued to “kick the can down the road,” pursuing policies designed to postpone the day of reckoning and avoid telling the public the truth: that a sizable part of the debt will not be paid back in an orderly way.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Fortunately, there is still time to act. But leaders from all social sectors—government, business, organized labor, environmental and other stakeholder groups—need to act decisively and quickly in order to secure future economic prosperity, social cohesion, and political stability. It is in the nature of Ponzi schemes to collapse suddenly, without warning. No one knows what event may send the developed world and the global economy as a whole back into crisis.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This paper explores the causes and characteristics of the developed world’s Ponzi scheme and proposes ten steps that every developed economy will have to take to resolve it. All stakeholders will have to make sacrifices. Creditors will have to accept losses. The wealthy will have to pay more taxes. Wage earners will have to work longer and save more for their retirement. Public spending on social welfare will have to be cut, even as spending in new areas of social investment will have to be increased. Government will have to get smaller and more efficient. And because these problems don’t affect the developed economies alone but also global growth, the emerging economies will have to contribute to the solution by consuming more and exporting less.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Who pays and who benefits will be subjects of intense political controversy. How critical tradeoffs are managed will vary from country to country. But rather than address these issues, this publication simply </w:t>
      </w:r>
      <w:r w:rsidRPr="00016C9E">
        <w:rPr>
          <w:rFonts w:ascii="Arial" w:eastAsia="Times New Roman" w:hAnsi="Arial" w:cs="Arial"/>
          <w:color w:val="222222"/>
          <w:sz w:val="20"/>
          <w:szCs w:val="20"/>
        </w:rPr>
        <w:lastRenderedPageBreak/>
        <w:t>aims to highlight the painful dilemmas that the developed world faces, to define the necessary steps toward a genuine solution, and to create a sense of urgency for rapid action.</w:t>
      </w:r>
    </w:p>
    <w:p w:rsidR="00016C9E" w:rsidRPr="00016C9E" w:rsidRDefault="00016C9E" w:rsidP="00016C9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16C9E">
        <w:rPr>
          <w:rFonts w:ascii="Arial" w:eastAsia="Times New Roman" w:hAnsi="Arial" w:cs="Arial"/>
          <w:b/>
          <w:bCs/>
          <w:color w:val="222222"/>
          <w:sz w:val="27"/>
          <w:szCs w:val="27"/>
        </w:rPr>
        <w:t xml:space="preserve">The Origins of the Ponzi </w:t>
      </w:r>
      <w:proofErr w:type="gramStart"/>
      <w:r w:rsidRPr="00016C9E">
        <w:rPr>
          <w:rFonts w:ascii="Arial" w:eastAsia="Times New Roman" w:hAnsi="Arial" w:cs="Arial"/>
          <w:b/>
          <w:bCs/>
          <w:color w:val="222222"/>
          <w:sz w:val="27"/>
          <w:szCs w:val="27"/>
        </w:rPr>
        <w:t>Scheme</w:t>
      </w:r>
      <w:proofErr w:type="gramEnd"/>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developed world’s Ponzi scheme is caused by record-high levels of public and private debt. And it is exacerbated by huge unfunded liabilities that will be impossible to pay off owing to long-term changes in developed-world demographics.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Record Levels of Private and Public Debt. Since the Second World War, debt levels in the developed economies have continually risen, with a notable increase since 1980. According to a study by the Bank for International Settlements (BIS), the combined debt of governments, private households, and nonfinancial companies in the 18 core countries of the OECD rose from 160 percent of GDP in 1980 to 321 percent in 2010. In real terms, after inflation is taken into account, governments have more than four times, private households more than six times, and nonfinancial companies more than three times the debt they had in 1980.</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There is, of course, nothing wrong with taking on debt, as long as that debt is invested to create additional economic growth. In recent decades, however, the vast majority of debt has not been used to increase future income but to consume, to speculate in stocks and real estate, and to pay the interest on previous debt. One indication of this trend: during the 1960s, each additional dollar of new credit in the U.S. led to 59 cents in new GDP; by the first decade of the new century, that same dollar of credit was producing just 18 cents in new GDP.</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These rapidly rising debt-to-GDP levels are a sign of the growing share of what the late economist Hyman </w:t>
      </w:r>
      <w:proofErr w:type="spellStart"/>
      <w:r w:rsidRPr="00016C9E">
        <w:rPr>
          <w:rFonts w:ascii="Arial" w:eastAsia="Times New Roman" w:hAnsi="Arial" w:cs="Arial"/>
          <w:color w:val="222222"/>
          <w:sz w:val="20"/>
          <w:szCs w:val="20"/>
        </w:rPr>
        <w:t>Minsky</w:t>
      </w:r>
      <w:proofErr w:type="spellEnd"/>
      <w:r w:rsidRPr="00016C9E">
        <w:rPr>
          <w:rFonts w:ascii="Arial" w:eastAsia="Times New Roman" w:hAnsi="Arial" w:cs="Arial"/>
          <w:color w:val="222222"/>
          <w:sz w:val="20"/>
          <w:szCs w:val="20"/>
        </w:rPr>
        <w:t xml:space="preserve"> termed “Ponzi financing” in the global economy. </w:t>
      </w:r>
      <w:proofErr w:type="spellStart"/>
      <w:r w:rsidRPr="00016C9E">
        <w:rPr>
          <w:rFonts w:ascii="Arial" w:eastAsia="Times New Roman" w:hAnsi="Arial" w:cs="Arial"/>
          <w:color w:val="222222"/>
          <w:sz w:val="20"/>
          <w:szCs w:val="20"/>
        </w:rPr>
        <w:t>Minsky</w:t>
      </w:r>
      <w:proofErr w:type="spellEnd"/>
      <w:r w:rsidRPr="00016C9E">
        <w:rPr>
          <w:rFonts w:ascii="Arial" w:eastAsia="Times New Roman" w:hAnsi="Arial" w:cs="Arial"/>
          <w:color w:val="222222"/>
          <w:sz w:val="20"/>
          <w:szCs w:val="20"/>
        </w:rPr>
        <w:t xml:space="preserve"> distinguished three types of credit-based financing, determined by the financial strength of the debtor:</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i/>
          <w:iCs/>
          <w:color w:val="222222"/>
          <w:sz w:val="20"/>
          <w:szCs w:val="20"/>
        </w:rPr>
        <w:t>Hedge financing</w:t>
      </w:r>
      <w:r w:rsidRPr="00016C9E">
        <w:rPr>
          <w:rFonts w:ascii="Arial" w:eastAsia="Times New Roman" w:hAnsi="Arial" w:cs="Arial"/>
          <w:color w:val="222222"/>
          <w:sz w:val="20"/>
          <w:szCs w:val="20"/>
        </w:rPr>
        <w:t>, in which the debtor has sufficient cash flow to pay interest and to pay back the principal.</w:t>
      </w:r>
      <w:proofErr w:type="gramEnd"/>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i/>
          <w:iCs/>
          <w:color w:val="222222"/>
          <w:sz w:val="20"/>
          <w:szCs w:val="20"/>
        </w:rPr>
        <w:t>Speculative financing</w:t>
      </w:r>
      <w:r w:rsidRPr="00016C9E">
        <w:rPr>
          <w:rFonts w:ascii="Arial" w:eastAsia="Times New Roman" w:hAnsi="Arial" w:cs="Arial"/>
          <w:color w:val="222222"/>
          <w:sz w:val="20"/>
          <w:szCs w:val="20"/>
        </w:rPr>
        <w:t>, in which the debtor can service the loan—that is, he or she can pay the loan interest that is due but not repay the principal out of income cash flows. Therefore, the debtor needs to continuously roll over liabilities by contracting new debt in order to meet the obligations on maturing debt.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i/>
          <w:iCs/>
          <w:color w:val="222222"/>
          <w:sz w:val="20"/>
          <w:szCs w:val="20"/>
        </w:rPr>
        <w:t>Ponzi financing</w:t>
      </w:r>
      <w:r w:rsidRPr="00016C9E">
        <w:rPr>
          <w:rFonts w:ascii="Arial" w:eastAsia="Times New Roman" w:hAnsi="Arial" w:cs="Arial"/>
          <w:color w:val="222222"/>
          <w:sz w:val="20"/>
          <w:szCs w:val="20"/>
        </w:rPr>
        <w:t>, in which the debtor doesn’t have enough cash flow to cover either the principal or the interest. While hoping that the asset will rise faster in value than the total financing cost, he or she must borrow even more to meet the interest payments. The ultimate goal is to be “bailed out” by selling the asset to the next buyer.</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Today the developed world looks for a “next buyer” to take over its excessive debt load. Unfortunately, there is no such buyer in sight. The Ponzi scheme will have to be unwound.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How much money are we talking about? The amounts are extraordinary. The threshold for sustainable government debt is a debt-to-GDP ratio of roughly 60 percent. Applying that threshold to nonfinancial corporate debt and private-household debt as well gives an overall “sustainable debt-to-GDP ratio” of 180 percent. Currently, the amount of debt above that level is approximately $11 trillion for the U.S. and €7.4 trillion for the Eurozone.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Although it is nearly five years since the onset of the financial crisis, we are still just beginning to unwind these massive sums. So far, only Italy, Japan, and the U.S. have started to deleverage. (See Exhibit 1.) In the case of the U.S., this deleveraging of the private sector is mainly the result of defaults, not of actually paying back loans. Other highly indebted economies such as the U.K., Spain, and France are still piling up additional debt.</w:t>
      </w:r>
    </w:p>
    <w:p w:rsidR="00016C9E" w:rsidRPr="00016C9E" w:rsidRDefault="004F54B4"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34194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1.jpg"/>
                    <pic:cNvPicPr/>
                  </pic:nvPicPr>
                  <pic:blipFill>
                    <a:blip r:embed="rId5">
                      <a:extLst>
                        <a:ext uri="{28A0092B-C50C-407E-A947-70E740481C1C}">
                          <a14:useLocalDpi xmlns:a14="http://schemas.microsoft.com/office/drawing/2010/main" val="0"/>
                        </a:ext>
                      </a:extLst>
                    </a:blip>
                    <a:stretch>
                      <a:fillRect/>
                    </a:stretch>
                  </pic:blipFill>
                  <pic:spPr>
                    <a:xfrm>
                      <a:off x="0" y="0"/>
                      <a:ext cx="5715000" cy="3419475"/>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8" name="Rectangle 8" descr="https://mail.google.com/mail/ca/?ui=2&amp;ik=0875b5ff6e&amp;view=att&amp;th=13c24e0d0b7f93ae&amp;attid=0.0.1.1&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8" o:spid="_x0000_s1026" alt="https://mail.google.com/mail/ca/?ui=2&amp;ik=0875b5ff6e&amp;view=att&amp;th=13c24e0d0b7f93ae&amp;attid=0.0.1.1&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Unfunded Liabilities.</w:t>
      </w:r>
      <w:proofErr w:type="gramEnd"/>
      <w:r w:rsidRPr="00016C9E">
        <w:rPr>
          <w:rFonts w:ascii="Arial" w:eastAsia="Times New Roman" w:hAnsi="Arial" w:cs="Arial"/>
          <w:color w:val="222222"/>
          <w:sz w:val="20"/>
          <w:szCs w:val="20"/>
        </w:rPr>
        <w:t xml:space="preserve"> As bad as the excessive debt burden is, however, it is only part of the problem. The developed world’s Ponzi scheme is greatly exacerbated by the hidden liabilities of governments and companies, especially when it comes to age- or health-care-related spending.</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basic approach to paying for such costs has not changed much since the invention of social insurance by Germany’s Chancellor Bismarck in 1889: the younger generation pays for the older generation. Bismarck lived until 83, but such longevity was the exception at the time. The average life expectancy then was 37 years for men and 40 years for women, while insurance was paid only from the age of 70 onwards. Thus, relatively few workers could expect to enjoy payments from public insurance.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Over the past century, however, life expectancy has doubled and fertility rates have declined by more than half in the developed world. In 1880, the median fertility rate among women in today’s G-7 countries of Canada, France, Germany, Italy, Japan, the U.K., and the U.S. was 4.6; today, it is at or below the rate of natural reproduction of 2.1, with rates in Germany, Italy, and Japan as low as 1.4.</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At the same time, the retirement age has been lowered significantly—so much so that the number of retirees supported by the working population has grown precipitously. In Germany, the old-age dependency ratio (that is, the number of persons age 65 or above per 100 persons of working age) was 14 percent in 1950; it is 31 percent today. And it will increase to 57 percent by 2050. In other words, every retiree will need to be supported by fewer than two fully employed people. In Japan, the dependency ratio was only 8 percent in 1950; it is 35 percent today and will climb to 70 percent by 2050. By the end of this century, there will be at least a 50 percent dependency ratio in most developed countries.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The financial implications of this growing welfare burden are dramatic. According to another BIS study, even in a benign scenario in which current deficits were reduced to </w:t>
      </w:r>
      <w:proofErr w:type="spellStart"/>
      <w:r w:rsidRPr="00016C9E">
        <w:rPr>
          <w:rFonts w:ascii="Arial" w:eastAsia="Times New Roman" w:hAnsi="Arial" w:cs="Arial"/>
          <w:color w:val="222222"/>
          <w:sz w:val="20"/>
          <w:szCs w:val="20"/>
        </w:rPr>
        <w:t>precrisis</w:t>
      </w:r>
      <w:proofErr w:type="spellEnd"/>
      <w:r w:rsidRPr="00016C9E">
        <w:rPr>
          <w:rFonts w:ascii="Arial" w:eastAsia="Times New Roman" w:hAnsi="Arial" w:cs="Arial"/>
          <w:color w:val="222222"/>
          <w:sz w:val="20"/>
          <w:szCs w:val="20"/>
        </w:rPr>
        <w:t xml:space="preserve"> levels and age-related spending was frozen at current levels of GDP, public debt would continue growing at a significant rate. Only Germany and Italy would be able to stabilize their debt levels in such a scenario. (See Exhibit 2.) </w:t>
      </w:r>
      <w:r w:rsidRPr="00016C9E">
        <w:rPr>
          <w:rFonts w:ascii="Arial" w:eastAsia="Times New Roman" w:hAnsi="Arial" w:cs="Arial"/>
          <w:color w:val="222222"/>
          <w:sz w:val="20"/>
          <w:szCs w:val="20"/>
        </w:rPr>
        <w:lastRenderedPageBreak/>
        <w:t>Nor are states and local governments immune. In the U.S., for example, one estimate puts the unfunded liabilities for city and state employees in the neighborhood of $3 trillion to $4 trillion.</w:t>
      </w:r>
    </w:p>
    <w:p w:rsidR="00016C9E" w:rsidRPr="00016C9E" w:rsidRDefault="004F54B4"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5715000" cy="40005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2.jpg"/>
                    <pic:cNvPicPr/>
                  </pic:nvPicPr>
                  <pic:blipFill>
                    <a:blip r:embed="rId6">
                      <a:extLst>
                        <a:ext uri="{28A0092B-C50C-407E-A947-70E740481C1C}">
                          <a14:useLocalDpi xmlns:a14="http://schemas.microsoft.com/office/drawing/2010/main" val="0"/>
                        </a:ext>
                      </a:extLst>
                    </a:blip>
                    <a:stretch>
                      <a:fillRect/>
                    </a:stretch>
                  </pic:blipFill>
                  <pic:spPr>
                    <a:xfrm>
                      <a:off x="0" y="0"/>
                      <a:ext cx="5715000" cy="4000500"/>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7" name="Rectangle 7" descr="https://mail.google.com/mail/ca/?ui=2&amp;ik=0875b5ff6e&amp;view=att&amp;th=13c24e0d0b7f93ae&amp;attid=0.0.1.2&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7" o:spid="_x0000_s1026" alt="https://mail.google.com/mail/ca/?ui=2&amp;ik=0875b5ff6e&amp;view=att&amp;th=13c24e0d0b7f93ae&amp;attid=0.0.1.2&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NxtySg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Private companies that provide fixed-benefit pensions are also confronting significant underfunding of their pension promises. In 2011, the S&amp;P 500 companies had combined unfunded liabilities of more than $500 billion; liabilities of the European </w:t>
      </w:r>
      <w:proofErr w:type="spellStart"/>
      <w:r w:rsidRPr="00016C9E">
        <w:rPr>
          <w:rFonts w:ascii="Arial" w:eastAsia="Times New Roman" w:hAnsi="Arial" w:cs="Arial"/>
          <w:color w:val="222222"/>
          <w:sz w:val="20"/>
          <w:szCs w:val="20"/>
        </w:rPr>
        <w:t>Stoxx</w:t>
      </w:r>
      <w:proofErr w:type="spellEnd"/>
      <w:r w:rsidRPr="00016C9E">
        <w:rPr>
          <w:rFonts w:ascii="Arial" w:eastAsia="Times New Roman" w:hAnsi="Arial" w:cs="Arial"/>
          <w:color w:val="222222"/>
          <w:sz w:val="20"/>
          <w:szCs w:val="20"/>
        </w:rPr>
        <w:t xml:space="preserve"> 600 were more than €300 billion. For some companies, unfunded liabilities are equivalent to more than 50 percent of their market capitalization. In the current environment, it is highly unlikely that larger investment returns will automatically solve the problem. Such companies will have to fund the gap out of current cash flow, cut their liabilities by offering diminished lump-sum buyouts (as GM and Ford have recently done)—or partially renege on their promises, as the public sector will inevitably do.</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Meanwhile, private households have relied too long on rising home-asset prices and the promises of politicians and corporate managers instead of putting aside dedicated funds for retirement. In some countries, private households need to deleverage precisely at a time when they should be building up assets for the future. What’s more, the aggressive monetary policies of the leading central banks, designed to stimulate economic growth, have had the perverse side effect of reducing interest income and expected future returns as asset values become inflated, forcing households to increase their savings even more.</w:t>
      </w:r>
    </w:p>
    <w:p w:rsidR="00016C9E" w:rsidRPr="00016C9E" w:rsidRDefault="00016C9E" w:rsidP="00016C9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16C9E">
        <w:rPr>
          <w:rFonts w:ascii="Arial" w:eastAsia="Times New Roman" w:hAnsi="Arial" w:cs="Arial"/>
          <w:b/>
          <w:bCs/>
          <w:color w:val="222222"/>
          <w:sz w:val="27"/>
          <w:szCs w:val="27"/>
        </w:rPr>
        <w:t>A Broken Growth Formula</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Addressing these challenges at any time would be difficult. To make matters even worse, however, they come at a moment when the developed world’s traditional model of economic growth appears to be </w:t>
      </w:r>
      <w:r w:rsidRPr="00016C9E">
        <w:rPr>
          <w:rFonts w:ascii="Arial" w:eastAsia="Times New Roman" w:hAnsi="Arial" w:cs="Arial"/>
          <w:color w:val="222222"/>
          <w:sz w:val="20"/>
          <w:szCs w:val="20"/>
        </w:rPr>
        <w:lastRenderedPageBreak/>
        <w:t>broken. This is partly a consequence of the Ponzi scheme itself. Economic growth is negatively affected by high levels of debt. In this respect, the tendency of the developed economies to fund today’s living with future income has not only created the global Ponzi scheme—it has also severely undermined the ability to resolve it. But the broken growth model is also due to long-term demographic trends and other changes.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Debt’s Drag on Growth.</w:t>
      </w:r>
      <w:proofErr w:type="gramEnd"/>
      <w:r w:rsidRPr="00016C9E">
        <w:rPr>
          <w:rFonts w:ascii="Arial" w:eastAsia="Times New Roman" w:hAnsi="Arial" w:cs="Arial"/>
          <w:color w:val="222222"/>
          <w:sz w:val="20"/>
          <w:szCs w:val="20"/>
        </w:rPr>
        <w:t xml:space="preserve"> Economists Carmen Reinhart and Kenneth </w:t>
      </w:r>
      <w:proofErr w:type="spellStart"/>
      <w:r w:rsidRPr="00016C9E">
        <w:rPr>
          <w:rFonts w:ascii="Arial" w:eastAsia="Times New Roman" w:hAnsi="Arial" w:cs="Arial"/>
          <w:color w:val="222222"/>
          <w:sz w:val="20"/>
          <w:szCs w:val="20"/>
        </w:rPr>
        <w:t>Rogoff</w:t>
      </w:r>
      <w:proofErr w:type="spellEnd"/>
      <w:r w:rsidRPr="00016C9E">
        <w:rPr>
          <w:rFonts w:ascii="Arial" w:eastAsia="Times New Roman" w:hAnsi="Arial" w:cs="Arial"/>
          <w:color w:val="222222"/>
          <w:sz w:val="20"/>
          <w:szCs w:val="20"/>
        </w:rPr>
        <w:t xml:space="preserve"> have demonstrated that as soon as government debt crosses the threshold of roughly 90 percent of GDP, it begins to have a negative impact on an economy’s growth rate. In addition, the BIS has shown that the impact is similar for nonfinancial corporate debt and household debt, and that at least two of these three sectors have crossed the 90 percent threshold in most of the developed economies. (See </w:t>
      </w:r>
      <w:r w:rsidRPr="00016C9E">
        <w:rPr>
          <w:rFonts w:ascii="Arial" w:eastAsia="Times New Roman" w:hAnsi="Arial" w:cs="Arial"/>
          <w:i/>
          <w:iCs/>
          <w:color w:val="222222"/>
          <w:sz w:val="20"/>
          <w:szCs w:val="20"/>
        </w:rPr>
        <w:t>Collateral Damage: What Next? Where Next?—What to Expect and How to Prepare</w:t>
      </w:r>
      <w:r w:rsidRPr="00016C9E">
        <w:rPr>
          <w:rFonts w:ascii="Arial" w:eastAsia="Times New Roman" w:hAnsi="Arial" w:cs="Arial"/>
          <w:color w:val="222222"/>
          <w:sz w:val="20"/>
          <w:szCs w:val="20"/>
        </w:rPr>
        <w:t>, BCG Focus, January 2012.)</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Oversized Public Sectors.</w:t>
      </w:r>
      <w:proofErr w:type="gramEnd"/>
      <w:r w:rsidRPr="00016C9E">
        <w:rPr>
          <w:rFonts w:ascii="Arial" w:eastAsia="Times New Roman" w:hAnsi="Arial" w:cs="Arial"/>
          <w:color w:val="222222"/>
          <w:sz w:val="20"/>
          <w:szCs w:val="20"/>
        </w:rPr>
        <w:t xml:space="preserve"> The government’s share in the economy, measured by government spending as a share of GDP, has a negative impact on economic growth as well. A recent study found that an increase in government size of 10 percentage points is associated with a lower growth rate of between 0.5 percent and 1 percent. In most European countries, government spending is currently about 40 percent of GDP or more, and in some countries, such as France and Denmark, it accounts for nearly 60 percent. (See Exhibit 3.) Even in the U.S., government spending’s share of GDP is 40 percent. By contrast, the share of government spending in developing countries is between 20 and 40 percent. Oversized public sectors create an additional drag on future growth, amplifying the impact of too much debt.</w:t>
      </w:r>
    </w:p>
    <w:p w:rsidR="00016C9E" w:rsidRPr="00016C9E" w:rsidRDefault="004F54B4"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57054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3.jpg"/>
                    <pic:cNvPicPr/>
                  </pic:nvPicPr>
                  <pic:blipFill>
                    <a:blip r:embed="rId7">
                      <a:extLst>
                        <a:ext uri="{28A0092B-C50C-407E-A947-70E740481C1C}">
                          <a14:useLocalDpi xmlns:a14="http://schemas.microsoft.com/office/drawing/2010/main" val="0"/>
                        </a:ext>
                      </a:extLst>
                    </a:blip>
                    <a:stretch>
                      <a:fillRect/>
                    </a:stretch>
                  </pic:blipFill>
                  <pic:spPr>
                    <a:xfrm>
                      <a:off x="0" y="0"/>
                      <a:ext cx="5715000" cy="5705475"/>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6" name="Rectangle 6" descr="https://mail.google.com/mail/ca/?ui=2&amp;ik=0875b5ff6e&amp;view=att&amp;th=13c24e0d0b7f93ae&amp;attid=0.0.1.3&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6" o:spid="_x0000_s1026" alt="https://mail.google.com/mail/ca/?ui=2&amp;ik=0875b5ff6e&amp;view=att&amp;th=13c24e0d0b7f93ae&amp;attid=0.0.1.3&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J5Kho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A Shrinking Workforce.</w:t>
      </w:r>
      <w:proofErr w:type="gramEnd"/>
      <w:r w:rsidRPr="00016C9E">
        <w:rPr>
          <w:rFonts w:ascii="Arial" w:eastAsia="Times New Roman" w:hAnsi="Arial" w:cs="Arial"/>
          <w:color w:val="222222"/>
          <w:sz w:val="20"/>
          <w:szCs w:val="20"/>
        </w:rPr>
        <w:t xml:space="preserve"> A critical problem in the decades to come will be labor scarcity. This may seem strange given that many advanced economies are currently suffering from high unemployment. But according to projections by the United Nations, between 2012 and 2050, the working-age population between the ages of 15 and 64 in Western Europe will shrink by about 13 percent (to 15.8 million people). In Japan, it will drop by 30 percent (to 23.8 million people). The U.S. working-age population will grow slightly, at 0.4 percent per year, but that is slower than the annual growth rate of 1.1 percent over the past 20 years. The fewer people in the workforce, the less GDP generated and, therefore, the less income available to pay down existing debt.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This trend is not limited to the developed world. China and Russia will also see their workforce shrink by 2020. Meanwhile, the workforce in India, the rest of Asia, Latin America, and Africa will grow at least until 2040 and perhaps even beyond. (See Exhibit 4.)</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38671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4.jpg"/>
                    <pic:cNvPicPr/>
                  </pic:nvPicPr>
                  <pic:blipFill>
                    <a:blip r:embed="rId8">
                      <a:extLst>
                        <a:ext uri="{28A0092B-C50C-407E-A947-70E740481C1C}">
                          <a14:useLocalDpi xmlns:a14="http://schemas.microsoft.com/office/drawing/2010/main" val="0"/>
                        </a:ext>
                      </a:extLst>
                    </a:blip>
                    <a:stretch>
                      <a:fillRect/>
                    </a:stretch>
                  </pic:blipFill>
                  <pic:spPr>
                    <a:xfrm>
                      <a:off x="0" y="0"/>
                      <a:ext cx="5715000" cy="3867150"/>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5" name="Rectangle 5" descr="https://mail.google.com/mail/ca/?ui=2&amp;ik=0875b5ff6e&amp;view=att&amp;th=13c24e0d0b7f93ae&amp;attid=0.0.1.4&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5" o:spid="_x0000_s1026" alt="https://mail.google.com/mail/ca/?ui=2&amp;ik=0875b5ff6e&amp;view=att&amp;th=13c24e0d0b7f93ae&amp;attid=0.0.1.4&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LuVV88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Slower Productivity Growth.</w:t>
      </w:r>
      <w:proofErr w:type="gramEnd"/>
      <w:r w:rsidRPr="00016C9E">
        <w:rPr>
          <w:rFonts w:ascii="Arial" w:eastAsia="Times New Roman" w:hAnsi="Arial" w:cs="Arial"/>
          <w:color w:val="222222"/>
          <w:sz w:val="20"/>
          <w:szCs w:val="20"/>
        </w:rPr>
        <w:t xml:space="preserve"> Just as important as the number of available people in an economy’s workforce is the productivity of that workforce. Consistent increases in productivity have made possible the economic transformation of the developed world over the past 200 years and of emerging markets today. There are signs, however, that the rate of improvement in productivity is in decline. In a provocative paper, the renowned growth researcher Robert Gordon, of Northwestern University, makes a compelling case that growth in GDP per capita has been slowing since the middle of the twentieth century. He argues that “the rapid progress made over the last 250 years could well turn out to be a unique episode in human history.”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Diminishing Returns from Innovation.</w:t>
      </w:r>
      <w:proofErr w:type="gramEnd"/>
      <w:r w:rsidRPr="00016C9E">
        <w:rPr>
          <w:rFonts w:ascii="Arial" w:eastAsia="Times New Roman" w:hAnsi="Arial" w:cs="Arial"/>
          <w:color w:val="222222"/>
          <w:sz w:val="20"/>
          <w:szCs w:val="20"/>
        </w:rPr>
        <w:t xml:space="preserve"> Of the factors Gordon cites for this phenomenon, the most important is diminishing returns from innovation. In the 1920s, the Russian economist Nikolai </w:t>
      </w:r>
      <w:proofErr w:type="spellStart"/>
      <w:r w:rsidRPr="00016C9E">
        <w:rPr>
          <w:rFonts w:ascii="Arial" w:eastAsia="Times New Roman" w:hAnsi="Arial" w:cs="Arial"/>
          <w:color w:val="222222"/>
          <w:sz w:val="20"/>
          <w:szCs w:val="20"/>
        </w:rPr>
        <w:t>Kondratiev</w:t>
      </w:r>
      <w:proofErr w:type="spellEnd"/>
      <w:r w:rsidRPr="00016C9E">
        <w:rPr>
          <w:rFonts w:ascii="Arial" w:eastAsia="Times New Roman" w:hAnsi="Arial" w:cs="Arial"/>
          <w:color w:val="222222"/>
          <w:sz w:val="20"/>
          <w:szCs w:val="20"/>
        </w:rPr>
        <w:t xml:space="preserve"> identified a pattern of economic growth consisting of successive “long waves” of economic development, in which periods of rapid growth were interspersed with periods of slower growth and financial crisis before a new cycle of growth began. Later, the Austrian economist Joseph Schumpeter showed how these long waves were associated with major advances in basic innovation—for example, the steam engine, electricity, and the automobile.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According to Gordon, the problem today is not merely that the incremental productivity impact of the most recent wave of innovation, associated with information technology and communications, has diminished in recent decades. Rather, he argues that the space for truly fundamental innovations that result in step-change improvements in living standards is getting smaller and smaller. As he puts it, the invention of indoor plumbing was orders of magnitude more important than the invention of the </w:t>
      </w:r>
      <w:proofErr w:type="spellStart"/>
      <w:r w:rsidRPr="00016C9E">
        <w:rPr>
          <w:rFonts w:ascii="Arial" w:eastAsia="Times New Roman" w:hAnsi="Arial" w:cs="Arial"/>
          <w:color w:val="222222"/>
          <w:sz w:val="20"/>
          <w:szCs w:val="20"/>
        </w:rPr>
        <w:t>iPad</w:t>
      </w:r>
      <w:proofErr w:type="spellEnd"/>
      <w:r w:rsidRPr="00016C9E">
        <w:rPr>
          <w:rFonts w:ascii="Arial" w:eastAsia="Times New Roman" w:hAnsi="Arial" w:cs="Arial"/>
          <w:color w:val="222222"/>
          <w:sz w:val="20"/>
          <w:szCs w:val="20"/>
        </w:rPr>
        <w:t>, Twitter, and Facebook. (See Exhibit 5.)</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4752975"/>
            <wp:effectExtent l="0" t="0" r="0"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5.jpg"/>
                    <pic:cNvPicPr/>
                  </pic:nvPicPr>
                  <pic:blipFill>
                    <a:blip r:embed="rId9">
                      <a:extLst>
                        <a:ext uri="{28A0092B-C50C-407E-A947-70E740481C1C}">
                          <a14:useLocalDpi xmlns:a14="http://schemas.microsoft.com/office/drawing/2010/main" val="0"/>
                        </a:ext>
                      </a:extLst>
                    </a:blip>
                    <a:stretch>
                      <a:fillRect/>
                    </a:stretch>
                  </pic:blipFill>
                  <pic:spPr>
                    <a:xfrm>
                      <a:off x="0" y="0"/>
                      <a:ext cx="5715000" cy="4752975"/>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4" name="Rectangle 4" descr="https://mail.google.com/mail/ca/?ui=2&amp;ik=0875b5ff6e&amp;view=att&amp;th=13c24e0d0b7f93ae&amp;attid=0.0.1.5&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4" o:spid="_x0000_s1026" alt="https://mail.google.com/mail/ca/?ui=2&amp;ik=0875b5ff6e&amp;view=att&amp;th=13c24e0d0b7f93ae&amp;attid=0.0.1.5&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EWBtP0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Of course, Gordon’s view may underestimate the creative power of entrepreneurship to identify and bring to market productivity-enhancing innovations, as </w:t>
      </w:r>
      <w:r w:rsidRPr="00016C9E">
        <w:rPr>
          <w:rFonts w:ascii="Arial" w:eastAsia="Times New Roman" w:hAnsi="Arial" w:cs="Arial"/>
          <w:i/>
          <w:iCs/>
          <w:color w:val="222222"/>
          <w:sz w:val="20"/>
          <w:szCs w:val="20"/>
        </w:rPr>
        <w:t>The Economist</w:t>
      </w:r>
      <w:r w:rsidRPr="00016C9E">
        <w:rPr>
          <w:rFonts w:ascii="Arial" w:eastAsia="Times New Roman" w:hAnsi="Arial" w:cs="Arial"/>
          <w:color w:val="222222"/>
          <w:sz w:val="20"/>
          <w:szCs w:val="20"/>
        </w:rPr>
        <w:t> has recently argued. Nevertheless, his view needs to be taken seriously. Innovation may continue to have a positive impact on GDP and living standards, but the marginal effect may very well be less significant in the future than it was in the past.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Deteriorating Education Systems.</w:t>
      </w:r>
      <w:proofErr w:type="gramEnd"/>
      <w:r w:rsidRPr="00016C9E">
        <w:rPr>
          <w:rFonts w:ascii="Arial" w:eastAsia="Times New Roman" w:hAnsi="Arial" w:cs="Arial"/>
          <w:color w:val="222222"/>
          <w:sz w:val="20"/>
          <w:szCs w:val="20"/>
        </w:rPr>
        <w:t xml:space="preserve"> The deteriorating quality of education in most advanced countries also undermines future growth potential. Today, China produces more scientists every year than the U.S.—approximately 310,000 in 2010 compared with 255,000 in the U.S.—and about ten times the number of engineers (2.2 million). And the number of educated people is just one side of the coin. Asian countries regularly surpass developed nations in educational results. In 2009, when Chinese students (from Shanghai) were included for the first time in the OECD’s </w:t>
      </w:r>
      <w:proofErr w:type="spellStart"/>
      <w:r w:rsidRPr="00016C9E">
        <w:rPr>
          <w:rFonts w:ascii="Arial" w:eastAsia="Times New Roman" w:hAnsi="Arial" w:cs="Arial"/>
          <w:color w:val="222222"/>
          <w:sz w:val="20"/>
          <w:szCs w:val="20"/>
        </w:rPr>
        <w:t>triannual</w:t>
      </w:r>
      <w:proofErr w:type="spellEnd"/>
      <w:r w:rsidRPr="00016C9E">
        <w:rPr>
          <w:rFonts w:ascii="Arial" w:eastAsia="Times New Roman" w:hAnsi="Arial" w:cs="Arial"/>
          <w:color w:val="222222"/>
          <w:sz w:val="20"/>
          <w:szCs w:val="20"/>
        </w:rPr>
        <w:t xml:space="preserve"> PISA (</w:t>
      </w:r>
      <w:proofErr w:type="spellStart"/>
      <w:r w:rsidRPr="00016C9E">
        <w:rPr>
          <w:rFonts w:ascii="Arial" w:eastAsia="Times New Roman" w:hAnsi="Arial" w:cs="Arial"/>
          <w:color w:val="222222"/>
          <w:sz w:val="20"/>
          <w:szCs w:val="20"/>
        </w:rPr>
        <w:t>Programme</w:t>
      </w:r>
      <w:proofErr w:type="spellEnd"/>
      <w:r w:rsidRPr="00016C9E">
        <w:rPr>
          <w:rFonts w:ascii="Arial" w:eastAsia="Times New Roman" w:hAnsi="Arial" w:cs="Arial"/>
          <w:color w:val="222222"/>
          <w:sz w:val="20"/>
          <w:szCs w:val="20"/>
        </w:rPr>
        <w:t xml:space="preserve"> for International Student Assessment) tests, they immediately ranked first.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Increasing differences in education within the countries of the developed world are an additional burden. In the U.S., the “achievement gap”—the performance difference between African Americans and Hispanics, on the one hand, and white and Asian Americans, on the other—has widened, leading to overall poorer results as the first two groups’ share of the population grows. The same holds true for most countries in Europe, where the descendants of immigrants from Turkey, Africa, and the Arab world tend to perform less well than nonimmigrants or the descendants of immigrants from other regions. Unless these performance differences are addressed, it will be increasingly difficult for members of the next </w:t>
      </w:r>
      <w:r w:rsidRPr="00016C9E">
        <w:rPr>
          <w:rFonts w:ascii="Arial" w:eastAsia="Times New Roman" w:hAnsi="Arial" w:cs="Arial"/>
          <w:color w:val="222222"/>
          <w:sz w:val="20"/>
          <w:szCs w:val="20"/>
        </w:rPr>
        <w:lastRenderedPageBreak/>
        <w:t>generation to compete with the rest of the world and with each other—let alone pay for the retirement of the current generation of baby boomers.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Systemic Underinvestment in the Asset Base.</w:t>
      </w:r>
      <w:proofErr w:type="gramEnd"/>
      <w:r w:rsidRPr="00016C9E">
        <w:rPr>
          <w:rFonts w:ascii="Arial" w:eastAsia="Times New Roman" w:hAnsi="Arial" w:cs="Arial"/>
          <w:color w:val="222222"/>
          <w:sz w:val="20"/>
          <w:szCs w:val="20"/>
        </w:rPr>
        <w:t xml:space="preserve"> Any global traveler will have experienced how much progress the developing world has made in its investment in public and private infrastructure. At the same time, the public and private sectors in the developed world have underinvested in capital stock. This will have a negative impact as well, because capital investment is a key determinant of future productivity and income generation.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Despite record-high profit margins, businesses in the developed economies have significantly reduced their investment in new machinery and equipment. A recent Goldman Sachs report argues that Europe has witnessed a decade of underinvestment, starting before the financial crisis and intensifying since then. The average asset age increased to 10.3 years in 2011 from 7.4 years a decade before, representing an investment backlog of some €800 billion. The same trend holds true for U.S. companies. Nonfinancial corporate businesses in the U.S. show significantly higher savings levels compared with investments in almost every year since 2000; there is also a clear downward trend in net domestic fixed investments relative to GDP. (See Exhibit 6.)</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drawing>
          <wp:inline distT="0" distB="0" distL="0" distR="0">
            <wp:extent cx="5715000" cy="39433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6.jpg"/>
                    <pic:cNvPicPr/>
                  </pic:nvPicPr>
                  <pic:blipFill>
                    <a:blip r:embed="rId10">
                      <a:extLst>
                        <a:ext uri="{28A0092B-C50C-407E-A947-70E740481C1C}">
                          <a14:useLocalDpi xmlns:a14="http://schemas.microsoft.com/office/drawing/2010/main" val="0"/>
                        </a:ext>
                      </a:extLst>
                    </a:blip>
                    <a:stretch>
                      <a:fillRect/>
                    </a:stretch>
                  </pic:blipFill>
                  <pic:spPr>
                    <a:xfrm>
                      <a:off x="0" y="0"/>
                      <a:ext cx="5715000" cy="3943350"/>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3" name="Rectangle 3" descr="https://mail.google.com/mail/ca/?ui=2&amp;ik=0875b5ff6e&amp;view=att&amp;th=13c24e0d0b7f93ae&amp;attid=0.0.1.6&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3" o:spid="_x0000_s1026" alt="https://mail.google.com/mail/ca/?ui=2&amp;ik=0875b5ff6e&amp;view=att&amp;th=13c24e0d0b7f93ae&amp;attid=0.0.1.6&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CQ+ReM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The End of Cheap Resources.</w:t>
      </w:r>
      <w:proofErr w:type="gramEnd"/>
      <w:r w:rsidRPr="00016C9E">
        <w:rPr>
          <w:rFonts w:ascii="Arial" w:eastAsia="Times New Roman" w:hAnsi="Arial" w:cs="Arial"/>
          <w:color w:val="222222"/>
          <w:sz w:val="20"/>
          <w:szCs w:val="20"/>
        </w:rPr>
        <w:t xml:space="preserve"> Ever since the 1972 publication of </w:t>
      </w:r>
      <w:r w:rsidRPr="00016C9E">
        <w:rPr>
          <w:rFonts w:ascii="Arial" w:eastAsia="Times New Roman" w:hAnsi="Arial" w:cs="Arial"/>
          <w:i/>
          <w:iCs/>
          <w:color w:val="222222"/>
          <w:sz w:val="20"/>
          <w:szCs w:val="20"/>
        </w:rPr>
        <w:t>The Limits to Growth</w:t>
      </w:r>
      <w:r w:rsidRPr="00016C9E">
        <w:rPr>
          <w:rFonts w:ascii="Arial" w:eastAsia="Times New Roman" w:hAnsi="Arial" w:cs="Arial"/>
          <w:color w:val="222222"/>
          <w:sz w:val="20"/>
          <w:szCs w:val="20"/>
        </w:rPr>
        <w:t> by the Club of Rome, there has been an ongoing debate about how long the easy (and relatively economical) availability of the world’s natural resources will last. Some observers are confident that long-term declines in the price of raw materials (real prices have fallen by half since the 1860s) will continue, citing the fact that new raw-material deposits have been regularly found or substitutes identified. Others, however, argue that the period of declining prices has come to an end.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lastRenderedPageBreak/>
        <w:t xml:space="preserve">On balance, it makes sense to assume structurally higher raw-material prices, notwithstanding constant and high volatility in the economic cycle. The </w:t>
      </w:r>
      <w:proofErr w:type="gramStart"/>
      <w:r w:rsidRPr="00016C9E">
        <w:rPr>
          <w:rFonts w:ascii="Arial" w:eastAsia="Times New Roman" w:hAnsi="Arial" w:cs="Arial"/>
          <w:color w:val="222222"/>
          <w:sz w:val="20"/>
          <w:szCs w:val="20"/>
        </w:rPr>
        <w:t>speed of economic development in the emerging markets and the sheer number of people aspiring to a developed-world lifestyle support</w:t>
      </w:r>
      <w:proofErr w:type="gramEnd"/>
      <w:r w:rsidRPr="00016C9E">
        <w:rPr>
          <w:rFonts w:ascii="Arial" w:eastAsia="Times New Roman" w:hAnsi="Arial" w:cs="Arial"/>
          <w:color w:val="222222"/>
          <w:sz w:val="20"/>
          <w:szCs w:val="20"/>
        </w:rPr>
        <w:t xml:space="preserve"> this view. Efforts to reduce energy consumption and carbon-dioxide emissions in order to protect the environment will lead to higher costs as well. And if the scenarios predicted by researchers are correct, the costs of dealing with the implications of climate change will only increase in the coming decades.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 conclusion, the availability of cheap natural resources, which for more than a century has been an enabler of productivity improvement, may be ending. Higher costs will lead to more global disputes over resources and fewer financial resources to pay down debt.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Intensifying International Competition and Rising Inequality. Globalization has brought the promise of economic prosperity to billions of people around the world. But it has also contributed to tougher international competition and the creation of new inequalities of wealth and income in the developed world. The growth in the global labor force continues to put pressure on labor costs in developed economies. At the same time, globalization is leading to increasing inequalities in income and wealth within countries, as some groups (such as investors) benefit more from increased globalization than others (such as manufacturing workers).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Income statistics highlight this development: between 1979 and 2007, the income of the average U.S. household grew by 62 percent. Over the same period, the income of the top 1 percent of households grew by an extraordinary 275 percent and the income of the rest of the top 20 percent grew by a slightly above-average 65 percent, while the income of the remaining U.S. households grew by less than 40 percent. The incomes of the lowest quintile grew by only 18 percent.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Inequality increases the risk of social unrest and declining support for capitalism and a free society. As University of Chicago economist and former IMF chief economist </w:t>
      </w:r>
      <w:proofErr w:type="spellStart"/>
      <w:r w:rsidRPr="00016C9E">
        <w:rPr>
          <w:rFonts w:ascii="Arial" w:eastAsia="Times New Roman" w:hAnsi="Arial" w:cs="Arial"/>
          <w:color w:val="222222"/>
          <w:sz w:val="20"/>
          <w:szCs w:val="20"/>
        </w:rPr>
        <w:t>Raghuram</w:t>
      </w:r>
      <w:proofErr w:type="spellEnd"/>
      <w:r w:rsidRPr="00016C9E">
        <w:rPr>
          <w:rFonts w:ascii="Arial" w:eastAsia="Times New Roman" w:hAnsi="Arial" w:cs="Arial"/>
          <w:color w:val="222222"/>
          <w:sz w:val="20"/>
          <w:szCs w:val="20"/>
        </w:rPr>
        <w:t xml:space="preserve"> </w:t>
      </w:r>
      <w:proofErr w:type="spellStart"/>
      <w:r w:rsidRPr="00016C9E">
        <w:rPr>
          <w:rFonts w:ascii="Arial" w:eastAsia="Times New Roman" w:hAnsi="Arial" w:cs="Arial"/>
          <w:color w:val="222222"/>
          <w:sz w:val="20"/>
          <w:szCs w:val="20"/>
        </w:rPr>
        <w:t>Rajan</w:t>
      </w:r>
      <w:proofErr w:type="spellEnd"/>
      <w:r w:rsidRPr="00016C9E">
        <w:rPr>
          <w:rFonts w:ascii="Arial" w:eastAsia="Times New Roman" w:hAnsi="Arial" w:cs="Arial"/>
          <w:color w:val="222222"/>
          <w:sz w:val="20"/>
          <w:szCs w:val="20"/>
        </w:rPr>
        <w:t xml:space="preserve"> points out, “Ultimately, a capitalist system that does not enjoy popular support loses any vestige of either democracy or free enterprise.”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Paralyzing Uncertainty: The Costs of Not Acting.</w:t>
      </w:r>
      <w:proofErr w:type="gramEnd"/>
      <w:r w:rsidRPr="00016C9E">
        <w:rPr>
          <w:rFonts w:ascii="Arial" w:eastAsia="Times New Roman" w:hAnsi="Arial" w:cs="Arial"/>
          <w:color w:val="222222"/>
          <w:sz w:val="20"/>
          <w:szCs w:val="20"/>
        </w:rPr>
        <w:t xml:space="preserve"> No one knows how long the developed world’s Ponzi scheme can go on without causing major social and economic breakdowns. As long as it does, however, economic uncertainty will remain high. One indicator of growing uncertainty is an index developed by economists Scott Baker and Nicholas Bloom, of Stanford University, and Steven Davis, of the University of Chicago. (See Exhibit 7.) Their “economic policy uncertainty index” shows not only </w:t>
      </w:r>
      <w:proofErr w:type="gramStart"/>
      <w:r w:rsidRPr="00016C9E">
        <w:rPr>
          <w:rFonts w:ascii="Arial" w:eastAsia="Times New Roman" w:hAnsi="Arial" w:cs="Arial"/>
          <w:color w:val="222222"/>
          <w:sz w:val="20"/>
          <w:szCs w:val="20"/>
        </w:rPr>
        <w:t>that overall levels</w:t>
      </w:r>
      <w:proofErr w:type="gramEnd"/>
      <w:r w:rsidRPr="00016C9E">
        <w:rPr>
          <w:rFonts w:ascii="Arial" w:eastAsia="Times New Roman" w:hAnsi="Arial" w:cs="Arial"/>
          <w:color w:val="222222"/>
          <w:sz w:val="20"/>
          <w:szCs w:val="20"/>
        </w:rPr>
        <w:t xml:space="preserve"> of uncertainty have risen since the financial crisis, but also that this uncertainty is increasingly driven by political disputes over economic issues rather than by events such as 9/11, for example, or military conflicts such as the First Gulf War. To the degree that politicians and other leaders fail to address the structural challenges described in this paper, the odds of economic paralysis go up.</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noProof/>
          <w:color w:val="222222"/>
          <w:sz w:val="20"/>
          <w:szCs w:val="20"/>
        </w:rPr>
        <w:lastRenderedPageBreak/>
        <w:drawing>
          <wp:inline distT="0" distB="0" distL="0" distR="0">
            <wp:extent cx="5715000" cy="35623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7.jpg"/>
                    <pic:cNvPicPr/>
                  </pic:nvPicPr>
                  <pic:blipFill>
                    <a:blip r:embed="rId11">
                      <a:extLst>
                        <a:ext uri="{28A0092B-C50C-407E-A947-70E740481C1C}">
                          <a14:useLocalDpi xmlns:a14="http://schemas.microsoft.com/office/drawing/2010/main" val="0"/>
                        </a:ext>
                      </a:extLst>
                    </a:blip>
                    <a:stretch>
                      <a:fillRect/>
                    </a:stretch>
                  </pic:blipFill>
                  <pic:spPr>
                    <a:xfrm>
                      <a:off x="0" y="0"/>
                      <a:ext cx="5715000" cy="3562350"/>
                    </a:xfrm>
                    <a:prstGeom prst="rect">
                      <a:avLst/>
                    </a:prstGeom>
                  </pic:spPr>
                </pic:pic>
              </a:graphicData>
            </a:graphic>
          </wp:inline>
        </w:drawing>
      </w:r>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2" name="Rectangle 2" descr="https://mail.google.com/mail/ca/?ui=2&amp;ik=0875b5ff6e&amp;view=att&amp;th=13c24e0d0b7f93ae&amp;attid=0.0.1.7&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2" o:spid="_x0000_s1026" alt="https://mail.google.com/mail/ca/?ui=2&amp;ik=0875b5ff6e&amp;view=att&amp;th=13c24e0d0b7f93ae&amp;attid=0.0.1.7&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NoqptERAwAATQYAAA4AAAAAAAAAAAAAAAAALgIAAGRycy9lMm9E&#10;b2MueG1sUEsBAi0AFAAGAAgAAAAhAEyg6SzYAAAAAwEAAA8AAAAAAAAAAAAAAAAAawUAAGRycy9k&#10;b3ducmV2LnhtbFBLBQYAAAAABAAEAPMAAABw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underlying issues cannot be ignored any longer. The developed world faces a day of reckoning. It is time to act.</w:t>
      </w:r>
    </w:p>
    <w:p w:rsidR="00016C9E" w:rsidRPr="00016C9E" w:rsidRDefault="00016C9E" w:rsidP="00016C9E">
      <w:pPr>
        <w:shd w:val="clear" w:color="auto" w:fill="FFFFFF"/>
        <w:spacing w:before="100" w:beforeAutospacing="1" w:after="100" w:afterAutospacing="1" w:line="240" w:lineRule="auto"/>
        <w:outlineLvl w:val="2"/>
        <w:rPr>
          <w:rFonts w:ascii="Arial" w:eastAsia="Times New Roman" w:hAnsi="Arial" w:cs="Arial"/>
          <w:b/>
          <w:bCs/>
          <w:color w:val="222222"/>
          <w:sz w:val="27"/>
          <w:szCs w:val="27"/>
        </w:rPr>
      </w:pPr>
      <w:r w:rsidRPr="00016C9E">
        <w:rPr>
          <w:rFonts w:ascii="Arial" w:eastAsia="Times New Roman" w:hAnsi="Arial" w:cs="Arial"/>
          <w:b/>
          <w:bCs/>
          <w:color w:val="222222"/>
          <w:sz w:val="27"/>
          <w:szCs w:val="27"/>
        </w:rPr>
        <w:t>Ten Steps Developed Economies Must Take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There are ten steps that developed economies must take to definitively end the era of Ponzi finance. Some are sacrifices required of various stakeholders. Others are new social investments, both public and private, that are needed in order to return to a sustainable growth path. Although there are tensions and tradeoffs among these steps, they are all necessary to put the developed economies on a more positive economic footing.</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1. Deal with the debt overhang—immediately. A precondition to addressing the fallout of the unsustainable policies of recent decades is a fast cleanup of the debt overhang. In previous papers, my colleagues and I have discussed the various options for doing so.</w:t>
      </w:r>
      <w:r w:rsidRPr="00016C9E">
        <w:rPr>
          <w:rFonts w:ascii="Arial" w:eastAsia="Times New Roman" w:hAnsi="Arial" w:cs="Arial"/>
          <w:color w:val="222222"/>
          <w:sz w:val="20"/>
          <w:szCs w:val="20"/>
          <w:vertAlign w:val="superscript"/>
        </w:rPr>
        <w:t>35</w:t>
      </w:r>
      <w:r w:rsidRPr="00016C9E">
        <w:rPr>
          <w:rFonts w:ascii="Arial" w:eastAsia="Times New Roman" w:hAnsi="Arial" w:cs="Arial"/>
          <w:color w:val="222222"/>
          <w:sz w:val="20"/>
          <w:szCs w:val="20"/>
        </w:rPr>
        <w:t xml:space="preserve"> Put simply, some combination of </w:t>
      </w:r>
      <w:proofErr w:type="spellStart"/>
      <w:r w:rsidRPr="00016C9E">
        <w:rPr>
          <w:rFonts w:ascii="Arial" w:eastAsia="Times New Roman" w:hAnsi="Arial" w:cs="Arial"/>
          <w:color w:val="222222"/>
          <w:sz w:val="20"/>
          <w:szCs w:val="20"/>
        </w:rPr>
        <w:t>writeoffs</w:t>
      </w:r>
      <w:proofErr w:type="spellEnd"/>
      <w:r w:rsidRPr="00016C9E">
        <w:rPr>
          <w:rFonts w:ascii="Arial" w:eastAsia="Times New Roman" w:hAnsi="Arial" w:cs="Arial"/>
          <w:color w:val="222222"/>
          <w:sz w:val="20"/>
          <w:szCs w:val="20"/>
        </w:rPr>
        <w:t xml:space="preserve"> and restructuring, austerity, higher taxes, and sizable inflation will be necessary.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critical starting point is to accept the fact that many of today’s debts will never be repaid and to embrace debt restructuring and defaults. Current policies, designed to avoid that outcome, only postpone the ultimate resolution of the crisis and will result in even bigger losses down the road. Better to move quickly and act now, despite the likelihood of considerable near-term pain.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All stakeholders will have to contribute to the necessary cleanup. Creditors and holders of financial assets will have to accept losses. Taxpayers will have to accept higher taxes—with a special burden on the wealthy, because unless politicians begin to address the unequal distribution of income and wealth, they will not have the credibility to implement other painful measures needed to get the developed world back on track. As difficult as that will be, especially for those who have been prudent and saved for retirement, the sooner the developed economies bite the bullet, the sooner everyone will be able to repair their </w:t>
      </w:r>
      <w:r w:rsidRPr="00016C9E">
        <w:rPr>
          <w:rFonts w:ascii="Arial" w:eastAsia="Times New Roman" w:hAnsi="Arial" w:cs="Arial"/>
          <w:color w:val="222222"/>
          <w:sz w:val="20"/>
          <w:szCs w:val="20"/>
        </w:rPr>
        <w:lastRenderedPageBreak/>
        <w:t>personal balance sheets before they retire. Otherwise, we risk experiencing a lost decade—or more—in which the fundamental underlying problems are not resolved and the value of current savings continually erodes.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2. Reduce unfunded liabilities. Once debt restructuring is under way and the broader public sees that wealthy owners of financial assets are contributing to the necessary cleanup, it should be easier for politicians to take another painful step: addressing openly and directly the trillions in unfunded liabilities that are weighing down budgets and balance sheets across the developed world. It will require a combination of several measures to bring these unfunded liabilities under control.</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Raise</w:t>
      </w:r>
      <w:proofErr w:type="gramEnd"/>
      <w:r w:rsidRPr="00016C9E">
        <w:rPr>
          <w:rFonts w:ascii="Arial" w:eastAsia="Times New Roman" w:hAnsi="Arial" w:cs="Arial"/>
          <w:color w:val="222222"/>
          <w:sz w:val="20"/>
          <w:szCs w:val="20"/>
        </w:rPr>
        <w:t xml:space="preserve"> the retirement age. As unpopular as this measure will be, it is the most important lever to reduce future costs. In an era of shrinking workforces, the math simply doesn’t work. The sooner the public knows what to expect, the sooner it will be able to plan for this scenario. Seen in this light, recent political initiatives toward earlier retirement, as we are currently witnessing in France, are extremely counterproductive.</w:t>
      </w:r>
      <w:r w:rsidRPr="00016C9E">
        <w:rPr>
          <w:rFonts w:ascii="Arial" w:eastAsia="Times New Roman" w:hAnsi="Arial" w:cs="Arial"/>
          <w:color w:val="222222"/>
          <w:sz w:val="20"/>
          <w:szCs w:val="20"/>
          <w:vertAlign w:val="superscript"/>
        </w:rPr>
        <w:t>36</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Reduce social-insurance payments. Even with a higher retirement age, it will be necessary, at least in some developed countries, to also reduce future payouts. Again, the sooner the public has a clear picture of what the changes will be and when, the sooner it can begin to prepare for them.</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Manage health care systems for greater efficiency. In many countries, especially the U.S., health care is the primary driver of increased government spending. But higher spending on health care is not necessarily a sign of better health outcomes. Although the U.S. spends 17.6 percent of GDP on health care, U.S. life expectancy is between 1.7 and 3 years less than it is in the U.K. (which spends only 9.6 percent of GDP on health care) and in France and Germany (which spend 11.6 percent).</w:t>
      </w:r>
      <w:r w:rsidRPr="00016C9E">
        <w:rPr>
          <w:rFonts w:ascii="Arial" w:eastAsia="Times New Roman" w:hAnsi="Arial" w:cs="Arial"/>
          <w:color w:val="222222"/>
          <w:sz w:val="20"/>
          <w:szCs w:val="20"/>
          <w:vertAlign w:val="superscript"/>
        </w:rPr>
        <w:t>37</w:t>
      </w:r>
      <w:r w:rsidRPr="00016C9E">
        <w:rPr>
          <w:rFonts w:ascii="Arial" w:eastAsia="Times New Roman" w:hAnsi="Arial" w:cs="Arial"/>
          <w:color w:val="222222"/>
          <w:sz w:val="20"/>
          <w:szCs w:val="20"/>
        </w:rPr>
        <w:t> The health care systems of the developed countries—and not just the U.S.—offer huge potential for more efficiency with no loss in effectiveness. (See “Health Reform Should Focus on Outcomes, Not Costs,” BCG article, October 2012.)</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3. Increase the efficiency of government. Parallel to reductions in government spending on social-welfare benefits, another key to reducing government’s share of GDP and increasing economic growth is to make government itself more efficient. A smaller government sector does not necessarily mean a weaker government. By defining the right “rules of the road” for society and business, governments can set the tone and priorities for development in a more effective as well as a more efficient way.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Increase the efficiency of the social-welfare system. The administrative </w:t>
      </w:r>
      <w:proofErr w:type="gramStart"/>
      <w:r w:rsidRPr="00016C9E">
        <w:rPr>
          <w:rFonts w:ascii="Arial" w:eastAsia="Times New Roman" w:hAnsi="Arial" w:cs="Arial"/>
          <w:color w:val="222222"/>
          <w:sz w:val="20"/>
          <w:szCs w:val="20"/>
        </w:rPr>
        <w:t>costs of welfare systems is</w:t>
      </w:r>
      <w:proofErr w:type="gramEnd"/>
      <w:r w:rsidRPr="00016C9E">
        <w:rPr>
          <w:rFonts w:ascii="Arial" w:eastAsia="Times New Roman" w:hAnsi="Arial" w:cs="Arial"/>
          <w:color w:val="222222"/>
          <w:sz w:val="20"/>
          <w:szCs w:val="20"/>
        </w:rPr>
        <w:t xml:space="preserve"> an area ripe for rationalization. One change to consider is replacing traditional means testing, which can very quickly become highly bureaucratic and resource intensive, with a guaranteed minimum income. An idea supported in the past by liberals such as Martin Luther King Jr. and John Kenneth Galbraith, but also by conservatives such as Friedrich Hayek, Richard Nixon, and Milton Friedman, a guaranteed minimum income has the advantage of eliminating most procedures for means testing and freeing up resources traditionally used in the allocation and distribution of money.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Free up the public-sector workforce. It is also important to reduce the number of public employees as a percentage of the overall population. In a period when labor will become increasingly scarce, it is critical that as many people as possible actually generate GDP (rather than merely consuming and redistributing it). This is not to say that public-service employees do not contribute to the overall welfare of society. But in a world of scarcity, the tradeoffs become more visible. And government inefficiencies are significant, especially in European countries.</w:t>
      </w:r>
      <w:r w:rsidRPr="00016C9E">
        <w:rPr>
          <w:rFonts w:ascii="Arial" w:eastAsia="Times New Roman" w:hAnsi="Arial" w:cs="Arial"/>
          <w:color w:val="222222"/>
          <w:sz w:val="20"/>
          <w:szCs w:val="20"/>
          <w:vertAlign w:val="superscript"/>
        </w:rPr>
        <w:t>38</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Implement structural reforms. Besides reforming social-welfare and retirement systems, it is important to maximize the economic potential of the economy. Therefore efforts to increase competition, by abolishing rules that block new entrants, and to increase the flexibility of labor markets need to be implemented fast. </w:t>
      </w:r>
      <w:r w:rsidRPr="00016C9E">
        <w:rPr>
          <w:rFonts w:ascii="Arial" w:eastAsia="Times New Roman" w:hAnsi="Arial" w:cs="Arial"/>
          <w:color w:val="222222"/>
          <w:sz w:val="20"/>
          <w:szCs w:val="20"/>
        </w:rPr>
        <w:lastRenderedPageBreak/>
        <w:t>According to a study by the IMF, the growth potential of economies in Western Europe could be increased by 4.5 percent over five years through the adoption of such measures.</w:t>
      </w:r>
      <w:r w:rsidRPr="00016C9E">
        <w:rPr>
          <w:rFonts w:ascii="Arial" w:eastAsia="Times New Roman" w:hAnsi="Arial" w:cs="Arial"/>
          <w:color w:val="222222"/>
          <w:sz w:val="20"/>
          <w:szCs w:val="20"/>
          <w:vertAlign w:val="superscript"/>
        </w:rPr>
        <w:t>39</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4. Prepare for labor scarcity. Countries need to start now to prepare for the coming era of labor scarcity. Doing so will require a series of initiatives to reduce the decline of the workforce.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Increase workforce participation by the elderly. In general, people will have to work longer, and the elderly will become a key component of the labor force. This change is beginning to happen already, driven primarily by the relative lack of well-educated and employable younger people. In the U.S., for example, the participation rate of workers age 65 years and older has increased significantly, from less than 11 percent of the total population in the mid-1980s to 16.7 percent in 2011.</w:t>
      </w:r>
      <w:r w:rsidRPr="00016C9E">
        <w:rPr>
          <w:rFonts w:ascii="Arial" w:eastAsia="Times New Roman" w:hAnsi="Arial" w:cs="Arial"/>
          <w:color w:val="222222"/>
          <w:sz w:val="20"/>
          <w:szCs w:val="20"/>
          <w:vertAlign w:val="superscript"/>
        </w:rPr>
        <w:t>40 </w:t>
      </w:r>
      <w:r w:rsidRPr="00016C9E">
        <w:rPr>
          <w:rFonts w:ascii="Arial" w:eastAsia="Times New Roman" w:hAnsi="Arial" w:cs="Arial"/>
          <w:color w:val="222222"/>
          <w:sz w:val="20"/>
          <w:szCs w:val="20"/>
        </w:rPr>
        <w:t>Since the depths of the recession in 2009, the majority of jobs created—about 3.5 million out of the total of 4.2 million—have gone to workers older than 55.</w:t>
      </w:r>
      <w:r w:rsidRPr="00016C9E">
        <w:rPr>
          <w:rFonts w:ascii="Arial" w:eastAsia="Times New Roman" w:hAnsi="Arial" w:cs="Arial"/>
          <w:color w:val="222222"/>
          <w:sz w:val="20"/>
          <w:szCs w:val="20"/>
          <w:vertAlign w:val="superscript"/>
        </w:rPr>
        <w:t>41</w:t>
      </w:r>
      <w:r w:rsidRPr="00016C9E">
        <w:rPr>
          <w:rFonts w:ascii="Arial" w:eastAsia="Times New Roman" w:hAnsi="Arial" w:cs="Arial"/>
          <w:color w:val="222222"/>
          <w:sz w:val="20"/>
          <w:szCs w:val="20"/>
        </w:rPr>
        <w:t> As this trend continues, however, there will be a need for increased investments in training and education, and businesses will have to adapt their processes to the needs of older people.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Increase workforce participation by women. Growing participation by women in the labor force has been a major source of economic growth in recent years in the developed world. And yet, in many countries, the share of women in the workforce is still below the high levels reached in Switzerland, Sweden, and Norway, where between 77 and 82 percent of all women work.</w:t>
      </w:r>
      <w:r w:rsidRPr="00016C9E">
        <w:rPr>
          <w:rFonts w:ascii="Arial" w:eastAsia="Times New Roman" w:hAnsi="Arial" w:cs="Arial"/>
          <w:color w:val="222222"/>
          <w:sz w:val="20"/>
          <w:szCs w:val="20"/>
          <w:vertAlign w:val="superscript"/>
        </w:rPr>
        <w:t>42</w:t>
      </w:r>
      <w:r w:rsidRPr="00016C9E">
        <w:rPr>
          <w:rFonts w:ascii="Arial" w:eastAsia="Times New Roman" w:hAnsi="Arial" w:cs="Arial"/>
          <w:color w:val="222222"/>
          <w:sz w:val="20"/>
          <w:szCs w:val="20"/>
        </w:rPr>
        <w:t> Women should also be encouraged to study economically relevant subjects such as science and engineering.</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Encourage family formation. Even as women enter the workforce, they should also be encouraged to have more children. Successfully addressing current economic woes will go a long way toward improving the fertility rate (experiences such as Germany’s reunification demonstrate that birth rates are highly sensitive to the social and economic environment).</w:t>
      </w:r>
      <w:r w:rsidRPr="00016C9E">
        <w:rPr>
          <w:rFonts w:ascii="Arial" w:eastAsia="Times New Roman" w:hAnsi="Arial" w:cs="Arial"/>
          <w:color w:val="222222"/>
          <w:sz w:val="20"/>
          <w:szCs w:val="20"/>
          <w:vertAlign w:val="superscript"/>
        </w:rPr>
        <w:t>43</w:t>
      </w:r>
      <w:r w:rsidRPr="00016C9E">
        <w:rPr>
          <w:rFonts w:ascii="Arial" w:eastAsia="Times New Roman" w:hAnsi="Arial" w:cs="Arial"/>
          <w:color w:val="222222"/>
          <w:sz w:val="20"/>
          <w:szCs w:val="20"/>
        </w:rPr>
        <w:t> Of course, both increasing the participation of women in the workforce and encouraging larger families will require additional social investment in the form of widely available high-quality childcare.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5. Develop smart immigration policy. Even if developed countries take all these steps, it will still not be enough to reverse demographic trends. Therefore, these countries also need to become far more open and attractive to immigrants.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With the oldest native population and an immigrant population close to zero, Japan faces the most severe challenge.</w:t>
      </w:r>
      <w:r w:rsidRPr="00016C9E">
        <w:rPr>
          <w:rFonts w:ascii="Arial" w:eastAsia="Times New Roman" w:hAnsi="Arial" w:cs="Arial"/>
          <w:color w:val="222222"/>
          <w:sz w:val="20"/>
          <w:szCs w:val="20"/>
          <w:vertAlign w:val="superscript"/>
        </w:rPr>
        <w:t>44</w:t>
      </w:r>
      <w:r w:rsidRPr="00016C9E">
        <w:rPr>
          <w:rFonts w:ascii="Arial" w:eastAsia="Times New Roman" w:hAnsi="Arial" w:cs="Arial"/>
          <w:color w:val="222222"/>
          <w:sz w:val="20"/>
          <w:szCs w:val="20"/>
        </w:rPr>
        <w:t> But Germany also struggles to attract well-educated immigrants because of the language barrier. Although immigration to Germany has increased since the financial crisis (up 20 percent in 2011 and an additional 15 percent in the first half of 2012), most of these immigrants are from countries in southern Europe such as Greece, Portugal, and Spain. This internal Eurozone migration only serves to weaken the economies of the periphery further; moreover, whatever economic benefits Germany gains from these new immigrants will likely be canceled out by the higher transfer payments that will be necessary to keep the weak economies in the periphery of the Eurozone from collapsing. From a European perspective, encouraging immigration from outside of Europe has to be the goal.</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Even the U.S., which has long prided itself on being a nation of immigrants, needs to revise its policies. Since World War II, the U.S. system of higher education has attracted the world’s best students, and the U.S. has benefited economically from their presence. For every 1 percentage point increase in foreign students in the U.S., there has been an increase in patents in the neighborhood of 9 to 18 percent.</w:t>
      </w:r>
      <w:r w:rsidRPr="00016C9E">
        <w:rPr>
          <w:rFonts w:ascii="Arial" w:eastAsia="Times New Roman" w:hAnsi="Arial" w:cs="Arial"/>
          <w:color w:val="222222"/>
          <w:sz w:val="20"/>
          <w:szCs w:val="20"/>
          <w:vertAlign w:val="superscript"/>
        </w:rPr>
        <w:t>45</w:t>
      </w:r>
      <w:r w:rsidRPr="00016C9E">
        <w:rPr>
          <w:rFonts w:ascii="Arial" w:eastAsia="Times New Roman" w:hAnsi="Arial" w:cs="Arial"/>
          <w:color w:val="222222"/>
          <w:sz w:val="20"/>
          <w:szCs w:val="20"/>
        </w:rPr>
        <w:t> And networks of immigrant entrepreneurs have played a central role in U.S. technological innovation, most notably in Silicon Valley, where more than half of start-ups have been founded or cofounded by Indian or Chinese entrepreneurs.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But in the years since 9/11, the U.S. has become far more restrictive, and as emerging markets have gained in attractiveness, a much larger share of foreign students are returning to their countries of origin. According to one survey of foreign graduates, “fewer than 10 percent of Indians and Chinese ‘strongly’ </w:t>
      </w:r>
      <w:r w:rsidRPr="00016C9E">
        <w:rPr>
          <w:rFonts w:ascii="Arial" w:eastAsia="Times New Roman" w:hAnsi="Arial" w:cs="Arial"/>
          <w:color w:val="222222"/>
          <w:sz w:val="20"/>
          <w:szCs w:val="20"/>
        </w:rPr>
        <w:lastRenderedPageBreak/>
        <w:t>desire to stay in the U.S.”</w:t>
      </w:r>
      <w:r w:rsidRPr="00016C9E">
        <w:rPr>
          <w:rFonts w:ascii="Arial" w:eastAsia="Times New Roman" w:hAnsi="Arial" w:cs="Arial"/>
          <w:color w:val="222222"/>
          <w:sz w:val="20"/>
          <w:szCs w:val="20"/>
          <w:vertAlign w:val="superscript"/>
        </w:rPr>
        <w:t>46</w:t>
      </w:r>
      <w:r w:rsidRPr="00016C9E">
        <w:rPr>
          <w:rFonts w:ascii="Arial" w:eastAsia="Times New Roman" w:hAnsi="Arial" w:cs="Arial"/>
          <w:color w:val="222222"/>
          <w:sz w:val="20"/>
          <w:szCs w:val="20"/>
        </w:rPr>
        <w:t> In a two-speed world with diverging economic trends, the developed economies will compete against one another and with emerging markets for the same limited talent pool.</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A smart immigration policy should focus on attracting well-educated and highly motivated people who want to build their own lives in their new country and contribute to its economic growth. A good model is Canada, where a full 20 percent of permanent residents are foreign born and immigration enjoys widespread public support.</w:t>
      </w:r>
      <w:r w:rsidRPr="00016C9E">
        <w:rPr>
          <w:rFonts w:ascii="Arial" w:eastAsia="Times New Roman" w:hAnsi="Arial" w:cs="Arial"/>
          <w:color w:val="222222"/>
          <w:sz w:val="20"/>
          <w:szCs w:val="20"/>
          <w:vertAlign w:val="superscript"/>
        </w:rPr>
        <w:t>47</w:t>
      </w:r>
      <w:r w:rsidRPr="00016C9E">
        <w:rPr>
          <w:rFonts w:ascii="Arial" w:eastAsia="Times New Roman" w:hAnsi="Arial" w:cs="Arial"/>
          <w:color w:val="222222"/>
          <w:sz w:val="20"/>
          <w:szCs w:val="20"/>
        </w:rPr>
        <w:t> Canadian immigration policy is highly selective: it has an economic orientation that aims to attract skilled individuals who will improve the human capital of the country’s aging labor force. And it emphasizes both effective integration (settlement and integration policies include programs to facilitate entry into the labor market and mastery of both French and English) and permanent migration (to give both immigrants and Canada itself a stake in favorable long-term outcomes).</w:t>
      </w:r>
      <w:r w:rsidRPr="00016C9E">
        <w:rPr>
          <w:rFonts w:ascii="Arial" w:eastAsia="Times New Roman" w:hAnsi="Arial" w:cs="Arial"/>
          <w:color w:val="222222"/>
          <w:sz w:val="20"/>
          <w:szCs w:val="20"/>
          <w:vertAlign w:val="superscript"/>
        </w:rPr>
        <w:t>48</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6. Invest in education. Education has to play a significant role in the future growth potential of the developed economies. Quality education will be the decisive factor in protecting and increasing GDP per capita. It is also the foundation of social mobility and a precondition to fully utilizing the innovative capabilities and entrepreneurial talent of a society’s members. For both reasons, it needs to be another key target of social investment.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Improve average education levels. The developed world can no longer afford to let a sizable share of its youth lack access to quality education. Not everyone can become a top student, but raising the average level of education, notably in the basic skills of reading, writing, and math, will improve labor market access and reduce the social-welfare burden. Education systems such as Germany’s, which directly link school with learning on the job, should be implemented in other countries as well.</w:t>
      </w:r>
      <w:r w:rsidRPr="00016C9E">
        <w:rPr>
          <w:rFonts w:ascii="Arial" w:eastAsia="Times New Roman" w:hAnsi="Arial" w:cs="Arial"/>
          <w:color w:val="222222"/>
          <w:sz w:val="20"/>
          <w:szCs w:val="20"/>
          <w:vertAlign w:val="superscript"/>
        </w:rPr>
        <w:t>49</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Improve the quality of teaching. Not all investments in education necessarily improve the quality of education. After all, between 1970 and 2007, the U.S. government tripled spending on education in real terms—without any significant overall impact.</w:t>
      </w:r>
      <w:r w:rsidRPr="00016C9E">
        <w:rPr>
          <w:rFonts w:ascii="Arial" w:eastAsia="Times New Roman" w:hAnsi="Arial" w:cs="Arial"/>
          <w:color w:val="222222"/>
          <w:sz w:val="20"/>
          <w:szCs w:val="20"/>
          <w:vertAlign w:val="superscript"/>
        </w:rPr>
        <w:t>50 </w:t>
      </w:r>
      <w:proofErr w:type="gramStart"/>
      <w:r w:rsidRPr="00016C9E">
        <w:rPr>
          <w:rFonts w:ascii="Arial" w:eastAsia="Times New Roman" w:hAnsi="Arial" w:cs="Arial"/>
          <w:color w:val="222222"/>
          <w:sz w:val="20"/>
          <w:szCs w:val="20"/>
        </w:rPr>
        <w:t>The</w:t>
      </w:r>
      <w:proofErr w:type="gramEnd"/>
      <w:r w:rsidRPr="00016C9E">
        <w:rPr>
          <w:rFonts w:ascii="Arial" w:eastAsia="Times New Roman" w:hAnsi="Arial" w:cs="Arial"/>
          <w:color w:val="222222"/>
          <w:sz w:val="20"/>
          <w:szCs w:val="20"/>
        </w:rPr>
        <w:t xml:space="preserve"> one type of investment that has had a demonstrated impact however, is the education, training, and compensation of highly qualified teachers. As Finland’s high-performing educational system shows, excellent teachers and modern technology are critical to improving student outcomes.</w:t>
      </w:r>
      <w:r w:rsidRPr="00016C9E">
        <w:rPr>
          <w:rFonts w:ascii="Arial" w:eastAsia="Times New Roman" w:hAnsi="Arial" w:cs="Arial"/>
          <w:color w:val="222222"/>
          <w:sz w:val="20"/>
          <w:szCs w:val="20"/>
          <w:vertAlign w:val="superscript"/>
        </w:rPr>
        <w:t>51</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Support top students to foster innovation and entrepreneurialism. Even as developed societies improve the average level of education, they also need to be better at identifying and supporting the most gifted students. Innovation and entrepreneurship are heavily skewed toward this small group, so governments must ensure that gifted students maximize their potential.</w:t>
      </w:r>
      <w:r w:rsidRPr="00016C9E">
        <w:rPr>
          <w:rFonts w:ascii="Arial" w:eastAsia="Times New Roman" w:hAnsi="Arial" w:cs="Arial"/>
          <w:color w:val="222222"/>
          <w:sz w:val="20"/>
          <w:szCs w:val="20"/>
          <w:vertAlign w:val="superscript"/>
        </w:rPr>
        <w:t>52</w:t>
      </w:r>
      <w:r w:rsidRPr="00016C9E">
        <w:rPr>
          <w:rFonts w:ascii="Arial" w:eastAsia="Times New Roman" w:hAnsi="Arial" w:cs="Arial"/>
          <w:color w:val="222222"/>
          <w:sz w:val="20"/>
          <w:szCs w:val="20"/>
        </w:rPr>
        <w:t> The emerging economies are investing heavily in new universities—15 of the top 100 MBA programs in the world are in emerging markets.</w:t>
      </w:r>
      <w:r w:rsidRPr="00016C9E">
        <w:rPr>
          <w:rFonts w:ascii="Arial" w:eastAsia="Times New Roman" w:hAnsi="Arial" w:cs="Arial"/>
          <w:color w:val="222222"/>
          <w:sz w:val="20"/>
          <w:szCs w:val="20"/>
          <w:vertAlign w:val="superscript"/>
        </w:rPr>
        <w:t>53</w:t>
      </w:r>
      <w:r w:rsidRPr="00016C9E">
        <w:rPr>
          <w:rFonts w:ascii="Arial" w:eastAsia="Times New Roman" w:hAnsi="Arial" w:cs="Arial"/>
          <w:color w:val="222222"/>
          <w:sz w:val="20"/>
          <w:szCs w:val="20"/>
        </w:rPr>
        <w:t> The developed economies need to act fast to remain an attractive destination for top students.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Encourage the study of topics relevant to future economic development. Finally, it will be important to direct students toward those subjects that are the most relevant to economic development, notably science and engineering. To some extent this will happen automatically, as students become aware of the attractiveness of the careers for which such studies prepare them. But the shift can be accelerated—for example, by limiting the available slots for less economically relevant subjects or by providing financial incentives for students to choose more economically relevant subjects.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7. Reinvest in the asset base. For more than a decade, the developed economies have reduced investments in public infrastructure and productive assets. Given the importance of the quality of capital stock to productivity and economic growth, it is time to reverse this trend.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Modernize public infrastructure. World-class infrastructure is an important precondition for economic development and national competitiveness. Airports, railway systems, highway networks, and energy grids need to be modernized and sized according to future demand. In order to minimize public debt, infrastructure modernization has to be done in cooperation with the private sector. Indeed, governments should involve the private sector not only in financing but also in the management of public projects; this </w:t>
      </w:r>
      <w:r w:rsidRPr="00016C9E">
        <w:rPr>
          <w:rFonts w:ascii="Arial" w:eastAsia="Times New Roman" w:hAnsi="Arial" w:cs="Arial"/>
          <w:color w:val="222222"/>
          <w:sz w:val="20"/>
          <w:szCs w:val="20"/>
        </w:rPr>
        <w:lastRenderedPageBreak/>
        <w:t>will maximize efficiency by improving strategic planning and governance, reducing process complexity and time to completion, and improving prioritization and selection of projects.</w:t>
      </w:r>
      <w:r w:rsidRPr="00016C9E">
        <w:rPr>
          <w:rFonts w:ascii="Arial" w:eastAsia="Times New Roman" w:hAnsi="Arial" w:cs="Arial"/>
          <w:color w:val="222222"/>
          <w:sz w:val="20"/>
          <w:szCs w:val="20"/>
          <w:vertAlign w:val="superscript"/>
        </w:rPr>
        <w:t>54</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Increase private-sector investment. Over the past few decades, Western multinationals have used their free cash flow mainly to invest in developing economies. Now that these investments are paying off, it is time for them to reinvest in the efficiency of production sites in their home markets and work off the investment backlog. Governments need to encourage private investment. Tax policies should make it more attractive to invest and less attractive to distribute—for example, by providing tax credits for domestic investment or by raising taxes on dividends. Structural reforms also have to be undertaken to remove labor market impediments to increased investment.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8. Increase raw-material efficiency. The age of cheap resources may have come to an end. Developed countries have to increase their efforts to decouple economic development from resource consumption.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Pursue alternative-energy technologies. Although almost half of new power capacity added worldwide in 2011 was in renewables, fossil fuels still contribute around 80 percent to the total power generated.</w:t>
      </w:r>
      <w:r w:rsidRPr="00016C9E">
        <w:rPr>
          <w:rFonts w:ascii="Arial" w:eastAsia="Times New Roman" w:hAnsi="Arial" w:cs="Arial"/>
          <w:color w:val="222222"/>
          <w:sz w:val="20"/>
          <w:szCs w:val="20"/>
          <w:vertAlign w:val="superscript"/>
        </w:rPr>
        <w:t>55</w:t>
      </w:r>
      <w:r w:rsidRPr="00016C9E">
        <w:rPr>
          <w:rFonts w:ascii="Arial" w:eastAsia="Times New Roman" w:hAnsi="Arial" w:cs="Arial"/>
          <w:color w:val="222222"/>
          <w:sz w:val="20"/>
          <w:szCs w:val="20"/>
        </w:rPr>
        <w:t xml:space="preserve"> And with the discovery of new techniques for exploiting fossil fuels—take, for example, the shale-gas boom, which may turn the U.S. into a net exporter of energy—it will be tempting to slow the transition to renewables. But such solutions will only be temporary. Governments need to accelerate the transition to renewables through investments in national infrastructure and innovative pilot projects. Because of their very long investment horizons, ambitious and highly innovative projects such as </w:t>
      </w:r>
      <w:proofErr w:type="spellStart"/>
      <w:r w:rsidRPr="00016C9E">
        <w:rPr>
          <w:rFonts w:ascii="Arial" w:eastAsia="Times New Roman" w:hAnsi="Arial" w:cs="Arial"/>
          <w:color w:val="222222"/>
          <w:sz w:val="20"/>
          <w:szCs w:val="20"/>
        </w:rPr>
        <w:t>Desertec</w:t>
      </w:r>
      <w:proofErr w:type="spellEnd"/>
      <w:r w:rsidRPr="00016C9E">
        <w:rPr>
          <w:rFonts w:ascii="Arial" w:eastAsia="Times New Roman" w:hAnsi="Arial" w:cs="Arial"/>
          <w:color w:val="222222"/>
          <w:sz w:val="20"/>
          <w:szCs w:val="20"/>
        </w:rPr>
        <w:t xml:space="preserve"> (solar power plants in northern Africa intended to supply energy to Europe) and </w:t>
      </w:r>
      <w:proofErr w:type="spellStart"/>
      <w:r w:rsidRPr="00016C9E">
        <w:rPr>
          <w:rFonts w:ascii="Arial" w:eastAsia="Times New Roman" w:hAnsi="Arial" w:cs="Arial"/>
          <w:color w:val="222222"/>
          <w:sz w:val="20"/>
          <w:szCs w:val="20"/>
        </w:rPr>
        <w:t>Masdar</w:t>
      </w:r>
      <w:proofErr w:type="spellEnd"/>
      <w:r w:rsidRPr="00016C9E">
        <w:rPr>
          <w:rFonts w:ascii="Arial" w:eastAsia="Times New Roman" w:hAnsi="Arial" w:cs="Arial"/>
          <w:color w:val="222222"/>
          <w:sz w:val="20"/>
          <w:szCs w:val="20"/>
        </w:rPr>
        <w:t xml:space="preserve"> (a zero-waste, zero-carbon city for 40,000 citizens in the United Arab Emirates) rely on public funding.</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Promote “material efficient” production and products. With energy and raw-material prices rising, it is a strategic priority for businesses to continuously improve the production efficiency of their supply chains.</w:t>
      </w:r>
      <w:r w:rsidRPr="00016C9E">
        <w:rPr>
          <w:rFonts w:ascii="Arial" w:eastAsia="Times New Roman" w:hAnsi="Arial" w:cs="Arial"/>
          <w:color w:val="222222"/>
          <w:sz w:val="20"/>
          <w:szCs w:val="20"/>
          <w:vertAlign w:val="superscript"/>
        </w:rPr>
        <w:t>56</w:t>
      </w:r>
      <w:r w:rsidRPr="00016C9E">
        <w:rPr>
          <w:rFonts w:ascii="Arial" w:eastAsia="Times New Roman" w:hAnsi="Arial" w:cs="Arial"/>
          <w:color w:val="222222"/>
          <w:sz w:val="20"/>
          <w:szCs w:val="20"/>
        </w:rPr>
        <w:t> </w:t>
      </w:r>
      <w:proofErr w:type="gramStart"/>
      <w:r w:rsidRPr="00016C9E">
        <w:rPr>
          <w:rFonts w:ascii="Arial" w:eastAsia="Times New Roman" w:hAnsi="Arial" w:cs="Arial"/>
          <w:color w:val="222222"/>
          <w:sz w:val="20"/>
          <w:szCs w:val="20"/>
        </w:rPr>
        <w:t>Furthermore,</w:t>
      </w:r>
      <w:proofErr w:type="gramEnd"/>
      <w:r w:rsidRPr="00016C9E">
        <w:rPr>
          <w:rFonts w:ascii="Arial" w:eastAsia="Times New Roman" w:hAnsi="Arial" w:cs="Arial"/>
          <w:color w:val="222222"/>
          <w:sz w:val="20"/>
          <w:szCs w:val="20"/>
        </w:rPr>
        <w:t xml:space="preserve"> companies need to invest in material-efficient products in order to satisfy changing consumer demands. Politicians should put in place effective policies so that efficient technologies are developed and applied by companies and consumers.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9. Cooperate on a global basis. Competition among countries will become more intense in the years to come. All countries will try to increase their exports; all will try to attract the best-educated immigrants; and all will try to secure scarce resources, from water to oil to commodities. This increased competition will pay dividends in the form of new and innovative products. But even as they compete, the world’s countries must also cooperate. The problems of the developed economies can only be addressed in a cooperative way on a global scale. Otherwise, the world risks descending into a vicious circle of beggar-thy-neighbor economic policies leading to much lower growth and slower improvement of living conditions worldwide.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emerging markets are not immune to the problems facing the developed world. After all, the developed economies are important markets for the export-driven economies of emerging markets. What’s more, in recent decades, emerging-market countries have become significant creditors for the developed world. China alone holds more than $1.2 trillion in U.S. Treasury bonds and, according to one investment research firm, had an estimated €500 billion to €600 billion in European sovereign debt in 2011.</w:t>
      </w:r>
      <w:r w:rsidRPr="00016C9E">
        <w:rPr>
          <w:rFonts w:ascii="Arial" w:eastAsia="Times New Roman" w:hAnsi="Arial" w:cs="Arial"/>
          <w:color w:val="222222"/>
          <w:sz w:val="20"/>
          <w:szCs w:val="20"/>
          <w:vertAlign w:val="superscript"/>
        </w:rPr>
        <w:t>57</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Support economic restructuring in the developed world. The creditors have to help the debtors pay back their debts. This will require the deficit countries to run a trade surplus and the former surplus countries to run a deficit. The emerging economies need to adjust their business model, focusing less on export-based growth and more on domestic consumption. These countries might also support economic adjustment in the developed economies by participating in efforts to reduce the debt overhang in an orderly way through restructurings and redemption funds.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lastRenderedPageBreak/>
        <w:t>Support efforts to reduce energy and commodity intensity. In global efforts to reduce carbon-dioxide emissions like the Kyoto initiative, the emerging markets oppose restrictive rules that could hinder their economic development. Irrespective of the implications for global warming, the direct consequence of the unchecked growth of carbon-based technologies will be higher commodity prices, which will amplify the problems of the developed economies. In contrast, efforts to become more efficient in the use of energy and other commodities would dampen price pressures, greatly improve economic growth, and support the adjustment process. According to the International Energy Agency, if effective policies were put in place to realize the potential of all economically viable energy-efficiency measures known today, growth in global primary-energy demand could be halved by 2035 and cumulative economic output boosted by $18 trillion.</w:t>
      </w:r>
      <w:r w:rsidRPr="00016C9E">
        <w:rPr>
          <w:rFonts w:ascii="Arial" w:eastAsia="Times New Roman" w:hAnsi="Arial" w:cs="Arial"/>
          <w:color w:val="222222"/>
          <w:sz w:val="20"/>
          <w:szCs w:val="20"/>
          <w:vertAlign w:val="superscript"/>
        </w:rPr>
        <w:t>58</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10. Launch the next </w:t>
      </w:r>
      <w:proofErr w:type="spellStart"/>
      <w:r w:rsidRPr="00016C9E">
        <w:rPr>
          <w:rFonts w:ascii="Arial" w:eastAsia="Times New Roman" w:hAnsi="Arial" w:cs="Arial"/>
          <w:color w:val="222222"/>
          <w:sz w:val="20"/>
          <w:szCs w:val="20"/>
        </w:rPr>
        <w:t>Kondratiev</w:t>
      </w:r>
      <w:proofErr w:type="spellEnd"/>
      <w:r w:rsidRPr="00016C9E">
        <w:rPr>
          <w:rFonts w:ascii="Arial" w:eastAsia="Times New Roman" w:hAnsi="Arial" w:cs="Arial"/>
          <w:color w:val="222222"/>
          <w:sz w:val="20"/>
          <w:szCs w:val="20"/>
        </w:rPr>
        <w:t xml:space="preserve"> wave. Last but not least, the developed world needs to prove Robert Gordon wrong. By investing in a growing and highly productive workforce and making it easier for engineers and technologists to innovate and for entrepreneurs to start new businesses, the developed economies need to unleash a new </w:t>
      </w:r>
      <w:proofErr w:type="spellStart"/>
      <w:r w:rsidRPr="00016C9E">
        <w:rPr>
          <w:rFonts w:ascii="Arial" w:eastAsia="Times New Roman" w:hAnsi="Arial" w:cs="Arial"/>
          <w:color w:val="222222"/>
          <w:sz w:val="20"/>
          <w:szCs w:val="20"/>
        </w:rPr>
        <w:t>Kondratiev</w:t>
      </w:r>
      <w:proofErr w:type="spellEnd"/>
      <w:r w:rsidRPr="00016C9E">
        <w:rPr>
          <w:rFonts w:ascii="Arial" w:eastAsia="Times New Roman" w:hAnsi="Arial" w:cs="Arial"/>
          <w:color w:val="222222"/>
          <w:sz w:val="20"/>
          <w:szCs w:val="20"/>
        </w:rPr>
        <w:t xml:space="preserve"> wave of global economic development.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Remove hurdles to innovation. Many government policies in the developed world are designed to protect traditional industries, whether through subsidies or favorable regulation. This practice not only makes the inevitable decline of these industries more expensive to the economy and society as a whole, but also leads to a loss of future technologies and future industries. As hard as it will be to lose income and jobs in traditional sectors, efforts to postpone the inevitable always fail. In the new world, governments have neither the money nor the time to protect traditional industries from change. Removing hurdles to innovation also implies more active antitrust policies, as the high levels of profitability that many industries enjoy today could indicate a lack of competition.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Encourage risk taking. Innovation tends to appeal to the young. Some of the most innovative companies—Apple, Google, Facebook, and Microsoft—were all founded by university students in their early twenties. Therefore, it is important for societies to encourage risk taking at a younger age and to make entrepreneurship more attractive and rewarding than working in other functions in the economy.</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Increase social acceptance of innovation. In many developed countries, especially in Europe, the public has grown skeptical of innovation and new technologies. The classic example is biotechnology and its application in food production and in some parts of health care research. In our view, this resistance to innovation is largely a function of the average age of a country’s population. The higher the average age, the more the population seems inclined to protect the status quo and be wary of the new. Leaders in these societies will have to persuade citizens that only increased innovation can help deal with the costs of demographic change if overall levels of wealth are to be preserved.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Negotiating the Fallout</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Implementing these ten steps is absolutely necessary to resolving the developed world’s Ponzi scheme. Everything depends on a fast and decisive solution to the debt crisis. Politicians alone will never be able to embrace this agenda on their own—as Jean-Claude </w:t>
      </w:r>
      <w:proofErr w:type="spellStart"/>
      <w:r w:rsidRPr="00016C9E">
        <w:rPr>
          <w:rFonts w:ascii="Arial" w:eastAsia="Times New Roman" w:hAnsi="Arial" w:cs="Arial"/>
          <w:color w:val="222222"/>
          <w:sz w:val="20"/>
          <w:szCs w:val="20"/>
        </w:rPr>
        <w:t>Juncker</w:t>
      </w:r>
      <w:proofErr w:type="spellEnd"/>
      <w:r w:rsidRPr="00016C9E">
        <w:rPr>
          <w:rFonts w:ascii="Arial" w:eastAsia="Times New Roman" w:hAnsi="Arial" w:cs="Arial"/>
          <w:color w:val="222222"/>
          <w:sz w:val="20"/>
          <w:szCs w:val="20"/>
        </w:rPr>
        <w:t>, prime minister of Luxembourg and president of the Euro Group said recently, “We all know what to do, we just don’t know how to get re-elected after we have done it.” Therefore, they will need the active support of the business community and other stakeholders. Depending on how the elites of the developed world respond, there are four potential scenarios. (See Exhibit 8.)</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w:t>
      </w:r>
    </w:p>
    <w:p w:rsidR="00016C9E" w:rsidRPr="00016C9E" w:rsidRDefault="00CA52F1" w:rsidP="00016C9E">
      <w:pPr>
        <w:shd w:val="clear" w:color="auto" w:fill="FFFFFF"/>
        <w:spacing w:before="100" w:beforeAutospacing="1" w:after="100" w:afterAutospacing="1" w:line="240" w:lineRule="auto"/>
        <w:rPr>
          <w:rFonts w:ascii="Arial" w:eastAsia="Times New Roman" w:hAnsi="Arial" w:cs="Arial"/>
          <w:color w:val="222222"/>
          <w:sz w:val="20"/>
          <w:szCs w:val="20"/>
        </w:rPr>
      </w:pPr>
      <w:bookmarkStart w:id="0" w:name="_GoBack"/>
      <w:r>
        <w:rPr>
          <w:rFonts w:ascii="Arial" w:eastAsia="Times New Roman" w:hAnsi="Arial" w:cs="Arial"/>
          <w:noProof/>
          <w:color w:val="222222"/>
          <w:sz w:val="20"/>
          <w:szCs w:val="20"/>
        </w:rPr>
        <w:lastRenderedPageBreak/>
        <w:drawing>
          <wp:inline distT="0" distB="0" distL="0" distR="0">
            <wp:extent cx="5079365" cy="5066667"/>
            <wp:effectExtent l="0" t="0" r="6985" b="63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x8.jpg"/>
                    <pic:cNvPicPr/>
                  </pic:nvPicPr>
                  <pic:blipFill>
                    <a:blip r:embed="rId12">
                      <a:extLst>
                        <a:ext uri="{28A0092B-C50C-407E-A947-70E740481C1C}">
                          <a14:useLocalDpi xmlns:a14="http://schemas.microsoft.com/office/drawing/2010/main" val="0"/>
                        </a:ext>
                      </a:extLst>
                    </a:blip>
                    <a:stretch>
                      <a:fillRect/>
                    </a:stretch>
                  </pic:blipFill>
                  <pic:spPr>
                    <a:xfrm>
                      <a:off x="0" y="0"/>
                      <a:ext cx="5079365" cy="5066667"/>
                    </a:xfrm>
                    <a:prstGeom prst="rect">
                      <a:avLst/>
                    </a:prstGeom>
                  </pic:spPr>
                </pic:pic>
              </a:graphicData>
            </a:graphic>
          </wp:inline>
        </w:drawing>
      </w:r>
      <w:bookmarkEnd w:id="0"/>
      <w:r w:rsidR="00016C9E">
        <w:rPr>
          <w:rFonts w:ascii="Arial" w:eastAsia="Times New Roman" w:hAnsi="Arial" w:cs="Arial"/>
          <w:noProof/>
          <w:color w:val="222222"/>
          <w:sz w:val="20"/>
          <w:szCs w:val="20"/>
        </w:rPr>
        <mc:AlternateContent>
          <mc:Choice Requires="wps">
            <w:drawing>
              <wp:inline distT="0" distB="0" distL="0" distR="0">
                <wp:extent cx="304800" cy="304800"/>
                <wp:effectExtent l="0" t="0" r="0" b="0"/>
                <wp:docPr id="1" name="Rectangle 1" descr="https://mail.google.com/mail/ca/?ui=2&amp;ik=0875b5ff6e&amp;view=att&amp;th=13c24e0d0b7f93ae&amp;attid=0.0.1.8&amp;disp=emb&amp;zw&amp;atsh=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alt="https://mail.google.com/mail/ca/?ui=2&amp;ik=0875b5ff6e&amp;view=att&amp;th=13c24e0d0b7f93ae&amp;attid=0.0.1.8&amp;disp=emb&amp;zw&amp;atsh=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" filled="f" stroked="f">
                <o:lock v:ext="edit" aspectratio="t"/>
                <w10:anchorlock/>
              </v:rect>
            </w:pict>
          </mc:Fallback>
        </mc:AlternateConten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If neither their debt problems nor their longer-term structural issues are addressed, the developed countries will face a secular crisis, with increasing social unrest and risks to democracy and the free market. Call this the Rome scenario.</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If the developed world addresses its long-term structural issues but does not solve the immediate debt problem, then that debt will be a permanent drag on economic growth, resulting in reduced GDP per capita. This is the scenario of long-term economic stagnation.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If the developed world is able to eliminate the debt overhang in the near future but does not address its long-term structural issues, it will have missed an important opportunity. The result of this scenario of missed opportunity will be a sluggish recovery, increased social tensions, and reduced GDP per capita.</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Finally, if the developed world both resolves the debt crisis quickly and undergoes a thorough structural adjustment, it will be able to return to a path of sustainable growth and social stability. Needless to say, the whole purpose of this paper has been to encourage the developed world to embrace this scenario of a return to growth.</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How can senior executives navigate this uncertain future? The initial reaction—particularly from those who run companies that are active in global markets—might be to acknowledge the facts described here </w:t>
      </w:r>
      <w:r w:rsidRPr="00016C9E">
        <w:rPr>
          <w:rFonts w:ascii="Arial" w:eastAsia="Times New Roman" w:hAnsi="Arial" w:cs="Arial"/>
          <w:color w:val="222222"/>
          <w:sz w:val="20"/>
          <w:szCs w:val="20"/>
        </w:rPr>
        <w:lastRenderedPageBreak/>
        <w:t>but to see no immediate relevance to their own business and strategy. Some might even say that the current strategy of expanding in emerging markets is sufficient to weather the storm. Although regional diversification has to be part of the answer, it will not be enough. In order to deal with the implications of the necessary adjustments and to benefit from the changes, companies have to do much more.</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They have an enviable starting position. Despite the ongoing debt crisis in the developed world, companies in the U.S. enjoy record-high levels of profitability, with profits currently representing about 12 percent of GDP.</w:t>
      </w:r>
      <w:r w:rsidRPr="00016C9E">
        <w:rPr>
          <w:rFonts w:ascii="Arial" w:eastAsia="Times New Roman" w:hAnsi="Arial" w:cs="Arial"/>
          <w:color w:val="222222"/>
          <w:sz w:val="20"/>
          <w:szCs w:val="20"/>
          <w:vertAlign w:val="superscript"/>
        </w:rPr>
        <w:t>59</w:t>
      </w:r>
      <w:r w:rsidRPr="00016C9E">
        <w:rPr>
          <w:rFonts w:ascii="Arial" w:eastAsia="Times New Roman" w:hAnsi="Arial" w:cs="Arial"/>
          <w:color w:val="222222"/>
          <w:sz w:val="20"/>
          <w:szCs w:val="20"/>
        </w:rPr>
        <w:t> Profit margins of European companies have increased since 2008, returning in 2011 to 2005 levels.</w:t>
      </w:r>
      <w:r w:rsidRPr="00016C9E">
        <w:rPr>
          <w:rFonts w:ascii="Arial" w:eastAsia="Times New Roman" w:hAnsi="Arial" w:cs="Arial"/>
          <w:color w:val="222222"/>
          <w:sz w:val="20"/>
          <w:szCs w:val="20"/>
          <w:vertAlign w:val="superscript"/>
        </w:rPr>
        <w:t>60</w:t>
      </w:r>
      <w:r w:rsidRPr="00016C9E">
        <w:rPr>
          <w:rFonts w:ascii="Arial" w:eastAsia="Times New Roman" w:hAnsi="Arial" w:cs="Arial"/>
          <w:color w:val="222222"/>
          <w:sz w:val="20"/>
          <w:szCs w:val="20"/>
        </w:rPr>
        <w:t> Apart from 2006 and 2007, higher margins have not been recorded since 1981. It is only Spanish, Portuguese, and Greek companies that have been significantly affected by the broader macroeconomic situation.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But for how long will companies be in a position to earn such high margins—especially when private households and governments need to deleverage? Either the economic crisis will worsen or governments will increase taxes to deal with their debt problems. High profit levels will not be sustainable unless companies also find ways to contribute to the solution by identifying and investing in new opportunities for profitable growth.</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Prepare for the new world. Management teams need to develop a point of view by developing a scenario of the coming years of change. Such a scenario should include, among other things, a two-speed economy with low growth in the developed world and higher growth in emerging markets; a greater propensity on the part of consumers to save and, therefore, to consume less; higher taxes; more cautious approaches to financing; and the paradoxical combination of low interest rates and high inflation risk.</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Only by assessing the implications of such an environment for their organization will executives be able to define the right actions to take. They must review and stress test the corporate balance sheet. Inflation is likely, but a company’s capital structure should also be able to weather a scenario in which severe constraints on financing return and demand falls, causing persistent low or even negative growth.</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Protect the core. It is most important to protect the company’s current position and competitive strength. The financial crisis is far from resolved, and the issues laid out in this paper will require significant action. Companies must reduce their vulnerability to shocks by reducing costs, creating a solid balance sheet with sufficient financial room to deal with another recession, and accelerating regional diversification to benefit from higher growth in other markets.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 xml:space="preserve">Be part of the solution. It will not be enough to lower costs and participate in growth in other regions. Companies need to </w:t>
      </w:r>
      <w:proofErr w:type="spellStart"/>
      <w:r w:rsidRPr="00016C9E">
        <w:rPr>
          <w:rFonts w:ascii="Arial" w:eastAsia="Times New Roman" w:hAnsi="Arial" w:cs="Arial"/>
          <w:color w:val="222222"/>
          <w:sz w:val="20"/>
          <w:szCs w:val="20"/>
        </w:rPr>
        <w:t>to</w:t>
      </w:r>
      <w:proofErr w:type="spellEnd"/>
      <w:r w:rsidRPr="00016C9E">
        <w:rPr>
          <w:rFonts w:ascii="Arial" w:eastAsia="Times New Roman" w:hAnsi="Arial" w:cs="Arial"/>
          <w:color w:val="222222"/>
          <w:sz w:val="20"/>
          <w:szCs w:val="20"/>
        </w:rPr>
        <w:t xml:space="preserve"> play an important role in generating and supporting the required growth in the developed world.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New Products.</w:t>
      </w:r>
      <w:proofErr w:type="gramEnd"/>
      <w:r w:rsidRPr="00016C9E">
        <w:rPr>
          <w:rFonts w:ascii="Arial" w:eastAsia="Times New Roman" w:hAnsi="Arial" w:cs="Arial"/>
          <w:color w:val="222222"/>
          <w:sz w:val="20"/>
          <w:szCs w:val="20"/>
        </w:rPr>
        <w:t xml:space="preserve"> Innovation will have to play an important role. The challenges of the future—increasing health-care costs, scarce resources, efforts to protect the environment—all require new answers and new products and services. Companies that contribute to the solution to these problems will be able to generate huge profits; they may even be part of the next industrial revolution.</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New Business Models.</w:t>
      </w:r>
      <w:proofErr w:type="gramEnd"/>
      <w:r w:rsidRPr="00016C9E">
        <w:rPr>
          <w:rFonts w:ascii="Arial" w:eastAsia="Times New Roman" w:hAnsi="Arial" w:cs="Arial"/>
          <w:color w:val="222222"/>
          <w:sz w:val="20"/>
          <w:szCs w:val="20"/>
        </w:rPr>
        <w:t xml:space="preserve"> The new world of less growth, less consumption, and older people will require new business models. There will be a need not only for different products but for different solutions to social problems. Companies should find ways to profit from economic and demographic trends. These trends will boost demand in some industries and change the demand structure in others.</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proofErr w:type="gramStart"/>
      <w:r w:rsidRPr="00016C9E">
        <w:rPr>
          <w:rFonts w:ascii="Arial" w:eastAsia="Times New Roman" w:hAnsi="Arial" w:cs="Arial"/>
          <w:color w:val="222222"/>
          <w:sz w:val="20"/>
          <w:szCs w:val="20"/>
        </w:rPr>
        <w:t>New Ways of Doing Business.</w:t>
      </w:r>
      <w:proofErr w:type="gramEnd"/>
      <w:r w:rsidRPr="00016C9E">
        <w:rPr>
          <w:rFonts w:ascii="Arial" w:eastAsia="Times New Roman" w:hAnsi="Arial" w:cs="Arial"/>
          <w:color w:val="222222"/>
          <w:sz w:val="20"/>
          <w:szCs w:val="20"/>
        </w:rPr>
        <w:t xml:space="preserve"> The changes described in this paper will result in new demands from the larger society. Companies should respond to these demands. For example, companies that adapt to the needs of older workers who have had to delay retirement will be helping to overcome the shortage of qualified labor and to increase workforce participation overall. Those companies that adapt first will have a competitive advantage when the shortage of labor becomes more acute. Companies also need to </w:t>
      </w:r>
      <w:r w:rsidRPr="00016C9E">
        <w:rPr>
          <w:rFonts w:ascii="Arial" w:eastAsia="Times New Roman" w:hAnsi="Arial" w:cs="Arial"/>
          <w:color w:val="222222"/>
          <w:sz w:val="20"/>
          <w:szCs w:val="20"/>
        </w:rPr>
        <w:lastRenderedPageBreak/>
        <w:t>review their performance targets. Sustainability will gain in importance and should be translated into tangible business-specific goals against which the performance of top management is measured.</w:t>
      </w:r>
    </w:p>
    <w:p w:rsidR="00016C9E" w:rsidRPr="00016C9E" w:rsidRDefault="00016C9E" w:rsidP="00016C9E">
      <w:pPr>
        <w:shd w:val="clear" w:color="auto" w:fill="FFFFFF"/>
        <w:spacing w:before="100" w:beforeAutospacing="1" w:after="100" w:afterAutospacing="1" w:line="240" w:lineRule="auto"/>
        <w:rPr>
          <w:rFonts w:ascii="Arial" w:eastAsia="Times New Roman" w:hAnsi="Arial" w:cs="Arial"/>
          <w:color w:val="222222"/>
          <w:sz w:val="20"/>
          <w:szCs w:val="20"/>
        </w:rPr>
      </w:pPr>
      <w:r w:rsidRPr="00016C9E">
        <w:rPr>
          <w:rFonts w:ascii="Arial" w:eastAsia="Times New Roman" w:hAnsi="Arial" w:cs="Arial"/>
          <w:color w:val="222222"/>
          <w:sz w:val="20"/>
          <w:szCs w:val="20"/>
        </w:rPr>
        <w:t>The challenges described in this paper are far too big to be resolved by politicians alone. They require the whole of society to stand together, share the burden, and define the path forward. Company leaders must play an important role in this discussion. But they will have to look beyond their immediate business needs and shareholder interests. As the Ponzi scheme deflates, the only way to achieve a good outcome will be through cooperation.</w:t>
      </w:r>
    </w:p>
    <w:p w:rsidR="000462BC" w:rsidRDefault="000462BC"/>
    <w:sectPr w:rsidR="000462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C9E"/>
    <w:rsid w:val="00016C9E"/>
    <w:rsid w:val="000462BC"/>
    <w:rsid w:val="004F54B4"/>
    <w:rsid w:val="00CA5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6C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6C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C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6C9E"/>
    <w:rPr>
      <w:rFonts w:ascii="Times New Roman" w:eastAsia="Times New Roman" w:hAnsi="Times New Roman" w:cs="Times New Roman"/>
      <w:b/>
      <w:bCs/>
      <w:sz w:val="27"/>
      <w:szCs w:val="27"/>
    </w:rPr>
  </w:style>
  <w:style w:type="character" w:styleId="Emphasis">
    <w:name w:val="Emphasis"/>
    <w:basedOn w:val="DefaultParagraphFont"/>
    <w:uiPriority w:val="20"/>
    <w:qFormat/>
    <w:rsid w:val="00016C9E"/>
    <w:rPr>
      <w:i/>
      <w:iCs/>
    </w:rPr>
  </w:style>
  <w:style w:type="paragraph" w:styleId="NormalWeb">
    <w:name w:val="Normal (Web)"/>
    <w:basedOn w:val="Normal"/>
    <w:uiPriority w:val="99"/>
    <w:semiHidden/>
    <w:unhideWhenUsed/>
    <w:rsid w:val="00016C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C9E"/>
    <w:rPr>
      <w:b/>
      <w:bCs/>
    </w:rPr>
  </w:style>
  <w:style w:type="character" w:customStyle="1" w:styleId="apple-converted-space">
    <w:name w:val="apple-converted-space"/>
    <w:basedOn w:val="DefaultParagraphFont"/>
    <w:rsid w:val="00016C9E"/>
  </w:style>
  <w:style w:type="paragraph" w:styleId="BalloonText">
    <w:name w:val="Balloon Text"/>
    <w:basedOn w:val="Normal"/>
    <w:link w:val="BalloonTextChar"/>
    <w:uiPriority w:val="99"/>
    <w:semiHidden/>
    <w:unhideWhenUsed/>
    <w:rsid w:val="004F5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B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16C9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16C9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16C9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16C9E"/>
    <w:rPr>
      <w:rFonts w:ascii="Times New Roman" w:eastAsia="Times New Roman" w:hAnsi="Times New Roman" w:cs="Times New Roman"/>
      <w:b/>
      <w:bCs/>
      <w:sz w:val="27"/>
      <w:szCs w:val="27"/>
    </w:rPr>
  </w:style>
  <w:style w:type="character" w:styleId="Emphasis">
    <w:name w:val="Emphasis"/>
    <w:basedOn w:val="DefaultParagraphFont"/>
    <w:uiPriority w:val="20"/>
    <w:qFormat/>
    <w:rsid w:val="00016C9E"/>
    <w:rPr>
      <w:i/>
      <w:iCs/>
    </w:rPr>
  </w:style>
  <w:style w:type="paragraph" w:styleId="NormalWeb">
    <w:name w:val="Normal (Web)"/>
    <w:basedOn w:val="Normal"/>
    <w:uiPriority w:val="99"/>
    <w:semiHidden/>
    <w:unhideWhenUsed/>
    <w:rsid w:val="00016C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16C9E"/>
    <w:rPr>
      <w:b/>
      <w:bCs/>
    </w:rPr>
  </w:style>
  <w:style w:type="character" w:customStyle="1" w:styleId="apple-converted-space">
    <w:name w:val="apple-converted-space"/>
    <w:basedOn w:val="DefaultParagraphFont"/>
    <w:rsid w:val="00016C9E"/>
  </w:style>
  <w:style w:type="paragraph" w:styleId="BalloonText">
    <w:name w:val="Balloon Text"/>
    <w:basedOn w:val="Normal"/>
    <w:link w:val="BalloonTextChar"/>
    <w:uiPriority w:val="99"/>
    <w:semiHidden/>
    <w:unhideWhenUsed/>
    <w:rsid w:val="004F54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54B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325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8.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image" Target="media/image7.jpg"/><Relationship Id="rId5" Type="http://schemas.openxmlformats.org/officeDocument/2006/relationships/image" Target="media/image1.jp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19</Pages>
  <Words>7885</Words>
  <Characters>44951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dc:creator>
  <cp:lastModifiedBy>Fred</cp:lastModifiedBy>
  <cp:revision>4</cp:revision>
  <dcterms:created xsi:type="dcterms:W3CDTF">2013-01-10T17:41:00Z</dcterms:created>
  <dcterms:modified xsi:type="dcterms:W3CDTF">2013-01-10T19:03:00Z</dcterms:modified>
</cp:coreProperties>
</file>